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A7" w:rsidRDefault="00F71CA7" w:rsidP="00F71CA7">
      <w:pPr>
        <w:rPr>
          <w:b/>
        </w:rPr>
      </w:pPr>
    </w:p>
    <w:p w:rsidR="00F71CA7" w:rsidRPr="00126230" w:rsidRDefault="00F71CA7" w:rsidP="00F71CA7">
      <w:pPr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-390525</wp:posOffset>
            </wp:positionV>
            <wp:extent cx="5745480" cy="1398905"/>
            <wp:effectExtent l="19050" t="0" r="7620" b="0"/>
            <wp:wrapSquare wrapText="largest"/>
            <wp:docPr id="3" name="obráze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398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230">
        <w:rPr>
          <w:b/>
        </w:rPr>
        <w:t>Informace ke schvalování změn v období udržitelnosti vycházející z Metodického dopisu č. 34</w:t>
      </w:r>
    </w:p>
    <w:p w:rsidR="00F71CA7" w:rsidRDefault="00F71CA7" w:rsidP="00F71CA7"/>
    <w:p w:rsidR="00F71CA7" w:rsidRDefault="00F71CA7" w:rsidP="00F71CA7">
      <w:r>
        <w:t xml:space="preserve">Od 24. 3. 2015 je účinný Metodický dopis č. 34, který se zabývá změnami v období udržitelnosti. </w:t>
      </w:r>
    </w:p>
    <w:p w:rsidR="00F71CA7" w:rsidRPr="00F71CA7" w:rsidRDefault="00F71CA7" w:rsidP="00F71CA7">
      <w:pPr>
        <w:spacing w:before="120"/>
        <w:jc w:val="both"/>
        <w:rPr>
          <w:rFonts w:ascii="Times New Roman" w:hAnsi="Times New Roman"/>
          <w:b/>
          <w:spacing w:val="0"/>
          <w:sz w:val="28"/>
          <w:szCs w:val="28"/>
        </w:rPr>
      </w:pPr>
      <w:r w:rsidRPr="00F71CA7">
        <w:rPr>
          <w:rFonts w:ascii="Times New Roman" w:hAnsi="Times New Roman"/>
          <w:b/>
          <w:spacing w:val="0"/>
          <w:sz w:val="28"/>
          <w:szCs w:val="28"/>
        </w:rPr>
        <w:t>Změny v období udržitelnosti</w:t>
      </w:r>
    </w:p>
    <w:p w:rsidR="00F71CA7" w:rsidRPr="0043636F" w:rsidRDefault="00F71CA7" w:rsidP="00F71CA7">
      <w:pPr>
        <w:pStyle w:val="Default"/>
        <w:spacing w:before="120"/>
        <w:jc w:val="both"/>
      </w:pPr>
      <w:r w:rsidRPr="0043636F">
        <w:t xml:space="preserve">Stejně jako v období realizace projektu, může příjemce IP, GP či GG i v období udržitelnosti projektu (zejména v návaznosti na monitorování projektu v tomto období) zaregistrovat a odhalit </w:t>
      </w:r>
      <w:r>
        <w:t xml:space="preserve">potřebu </w:t>
      </w:r>
      <w:r w:rsidRPr="0043636F">
        <w:t>odchylky v plnění právním aktem stanovených povinností. V této chvíli se jeví jako žádoucí realizovat nápravná opatření formou nepodstatné nebo podstatné změny projektu v období udržitelnosti, vždy ale za předpokladu respektování cílů a účelu projektu. Návrhy podstatných změn musejí být schváleny všemi partnery projektu, kterých se dotýkají, a to v písemné formě s podpisem statutárního zástupce nebo statutárního orgánu organizace partnera/</w:t>
      </w:r>
      <w:r>
        <w:t xml:space="preserve"> </w:t>
      </w:r>
      <w:r w:rsidRPr="0043636F">
        <w:t>partnerů. V případě, že takového souhlasu nebylo dosaženo, musí příjemce tuto informaci uvést při předkládání žádosti o schválení změn a odůvodnit, proč k získání souhlasu těchto partnerů nedošlo.</w:t>
      </w:r>
    </w:p>
    <w:p w:rsidR="00F71CA7" w:rsidRPr="0043636F" w:rsidRDefault="00F71CA7" w:rsidP="00F71CA7">
      <w:pPr>
        <w:pStyle w:val="Odstavecseseznamem"/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/>
        </w:rPr>
      </w:pPr>
      <w:r w:rsidRPr="00F92E14">
        <w:rPr>
          <w:rFonts w:ascii="Times New Roman" w:hAnsi="Times New Roman"/>
          <w:b/>
          <w:spacing w:val="0"/>
          <w:u w:val="single"/>
        </w:rPr>
        <w:t>Nepodstatné změny</w:t>
      </w:r>
      <w:r w:rsidRPr="00F92E14">
        <w:rPr>
          <w:rFonts w:ascii="Times New Roman" w:hAnsi="Times New Roman"/>
          <w:spacing w:val="0"/>
        </w:rPr>
        <w:t>,</w:t>
      </w:r>
      <w:r w:rsidRPr="0043636F">
        <w:rPr>
          <w:rFonts w:ascii="Times New Roman" w:hAnsi="Times New Roman"/>
          <w:spacing w:val="0"/>
        </w:rPr>
        <w:t xml:space="preserve"> resp. změny formálního charakteru</w:t>
      </w:r>
      <w:r>
        <w:rPr>
          <w:rFonts w:ascii="Times New Roman" w:hAnsi="Times New Roman"/>
          <w:spacing w:val="0"/>
        </w:rPr>
        <w:t>,</w:t>
      </w:r>
      <w:r w:rsidRPr="0043636F">
        <w:rPr>
          <w:rFonts w:ascii="Times New Roman" w:hAnsi="Times New Roman"/>
          <w:spacing w:val="0"/>
        </w:rPr>
        <w:t xml:space="preserve"> nepodléhají předchozímu souhlasu poskytovatele podpory. Příjemce je ovšem povinen takovéto změny poskytovateli podpory oznámit, a to písemně</w:t>
      </w:r>
      <w:r w:rsidRPr="0043636F">
        <w:rPr>
          <w:rStyle w:val="Znakapoznpodarou"/>
          <w:rFonts w:ascii="Times New Roman" w:hAnsi="Times New Roman"/>
          <w:spacing w:val="0"/>
        </w:rPr>
        <w:footnoteReference w:id="1"/>
      </w:r>
      <w:r w:rsidRPr="0043636F">
        <w:rPr>
          <w:rFonts w:ascii="Times New Roman" w:hAnsi="Times New Roman"/>
          <w:spacing w:val="0"/>
        </w:rPr>
        <w:t>, nejpozději v nejbližší monitorovací zprávě o udržitelnosti projektu (dále jen „</w:t>
      </w:r>
      <w:proofErr w:type="spellStart"/>
      <w:r w:rsidRPr="0043636F">
        <w:rPr>
          <w:rFonts w:ascii="Times New Roman" w:hAnsi="Times New Roman"/>
          <w:spacing w:val="0"/>
        </w:rPr>
        <w:t>MZoU</w:t>
      </w:r>
      <w:proofErr w:type="spellEnd"/>
      <w:r w:rsidRPr="0043636F">
        <w:rPr>
          <w:rFonts w:ascii="Times New Roman" w:hAnsi="Times New Roman"/>
          <w:spacing w:val="0"/>
        </w:rPr>
        <w:t xml:space="preserve">“). Pro tyto změny platí obdobná pravidla jako pro nepodstatné změny v období realizace projektu, </w:t>
      </w:r>
      <w:proofErr w:type="gramStart"/>
      <w:r w:rsidRPr="0043636F">
        <w:rPr>
          <w:rFonts w:ascii="Times New Roman" w:hAnsi="Times New Roman"/>
          <w:spacing w:val="0"/>
        </w:rPr>
        <w:t>tzn.</w:t>
      </w:r>
      <w:proofErr w:type="gramEnd"/>
      <w:r w:rsidRPr="0043636F">
        <w:rPr>
          <w:rFonts w:ascii="Times New Roman" w:hAnsi="Times New Roman"/>
          <w:spacing w:val="0"/>
        </w:rPr>
        <w:t xml:space="preserve"> součástí informace o provedené změně </w:t>
      </w:r>
      <w:proofErr w:type="gramStart"/>
      <w:r w:rsidRPr="0043636F">
        <w:rPr>
          <w:rFonts w:ascii="Times New Roman" w:hAnsi="Times New Roman"/>
          <w:spacing w:val="0"/>
        </w:rPr>
        <w:t>musí</w:t>
      </w:r>
      <w:proofErr w:type="gramEnd"/>
      <w:r w:rsidRPr="0043636F">
        <w:rPr>
          <w:rFonts w:ascii="Times New Roman" w:hAnsi="Times New Roman"/>
          <w:spacing w:val="0"/>
        </w:rPr>
        <w:t xml:space="preserve"> být zdůvodnění, proč ke změně došlo, uvedení účinnosti změny, případně doložení další dokumentace, která se k provedené změně váže a je požadována poskytovatelem podpory.</w:t>
      </w:r>
    </w:p>
    <w:p w:rsidR="00F71CA7" w:rsidRPr="0043636F" w:rsidRDefault="00F71CA7" w:rsidP="00F71CA7">
      <w:pPr>
        <w:pStyle w:val="Default"/>
        <w:spacing w:before="120"/>
        <w:jc w:val="both"/>
      </w:pPr>
      <w:r w:rsidRPr="0043636F">
        <w:t xml:space="preserve">Za nepodstatnou změnu v období udržitelnosti projektu, která nezakládá předem povinnost schválení ze strany poskytovatele podpory a následnou změnu nebo doplnění právního aktu o poskytnutí podpory, je považována např.: </w:t>
      </w:r>
    </w:p>
    <w:p w:rsidR="00F71CA7" w:rsidRPr="0043636F" w:rsidRDefault="00F71CA7" w:rsidP="00F71CA7">
      <w:pPr>
        <w:pStyle w:val="Default"/>
        <w:numPr>
          <w:ilvl w:val="0"/>
          <w:numId w:val="3"/>
        </w:numPr>
        <w:spacing w:before="120"/>
        <w:ind w:left="709" w:hanging="425"/>
        <w:jc w:val="both"/>
      </w:pPr>
      <w:r w:rsidRPr="0043636F">
        <w:rPr>
          <w:bCs/>
        </w:rPr>
        <w:t xml:space="preserve">změna kontaktních údajů příjemce </w:t>
      </w:r>
      <w:r w:rsidRPr="0043636F">
        <w:t>– adresy, telefonního čísla příjemce (</w:t>
      </w:r>
      <w:r>
        <w:t xml:space="preserve">doporučujeme </w:t>
      </w:r>
      <w:r w:rsidRPr="0043636F">
        <w:t>ozn</w:t>
      </w:r>
      <w:r>
        <w:t xml:space="preserve">ámit </w:t>
      </w:r>
      <w:r w:rsidRPr="0043636F">
        <w:t xml:space="preserve">neprodleně); </w:t>
      </w:r>
    </w:p>
    <w:p w:rsidR="00F71CA7" w:rsidRPr="0043636F" w:rsidRDefault="00F71CA7" w:rsidP="00F71CA7">
      <w:pPr>
        <w:pStyle w:val="Default"/>
        <w:numPr>
          <w:ilvl w:val="0"/>
          <w:numId w:val="3"/>
        </w:numPr>
        <w:ind w:left="709" w:hanging="425"/>
        <w:jc w:val="both"/>
      </w:pPr>
      <w:r w:rsidRPr="0043636F">
        <w:t xml:space="preserve">změna názvu příjemce </w:t>
      </w:r>
      <w:r>
        <w:t xml:space="preserve">(doporučujeme </w:t>
      </w:r>
      <w:r w:rsidRPr="0043636F">
        <w:t>ozn</w:t>
      </w:r>
      <w:r>
        <w:t xml:space="preserve">ámit </w:t>
      </w:r>
      <w:r w:rsidRPr="0043636F">
        <w:t xml:space="preserve">neprodleně); </w:t>
      </w:r>
    </w:p>
    <w:p w:rsidR="00F71CA7" w:rsidRPr="0043636F" w:rsidRDefault="00F71CA7" w:rsidP="00F71CA7">
      <w:pPr>
        <w:pStyle w:val="Default"/>
        <w:numPr>
          <w:ilvl w:val="0"/>
          <w:numId w:val="3"/>
        </w:numPr>
        <w:ind w:left="709" w:hanging="425"/>
        <w:jc w:val="both"/>
      </w:pPr>
      <w:r w:rsidRPr="0043636F">
        <w:rPr>
          <w:bCs/>
        </w:rPr>
        <w:t xml:space="preserve">změna sídla příjemce </w:t>
      </w:r>
      <w:r>
        <w:rPr>
          <w:bCs/>
        </w:rPr>
        <w:t>(</w:t>
      </w:r>
      <w:r>
        <w:t xml:space="preserve">doporučujeme </w:t>
      </w:r>
      <w:r w:rsidRPr="0043636F">
        <w:t>ozn</w:t>
      </w:r>
      <w:r>
        <w:t xml:space="preserve">ámit </w:t>
      </w:r>
      <w:r w:rsidRPr="0043636F">
        <w:t xml:space="preserve">neprodleně); </w:t>
      </w:r>
    </w:p>
    <w:p w:rsidR="00F71CA7" w:rsidRPr="0043636F" w:rsidRDefault="00F71CA7" w:rsidP="00F71CA7">
      <w:pPr>
        <w:pStyle w:val="Default"/>
        <w:numPr>
          <w:ilvl w:val="0"/>
          <w:numId w:val="3"/>
        </w:numPr>
        <w:ind w:left="709" w:hanging="425"/>
        <w:jc w:val="both"/>
      </w:pPr>
      <w:r w:rsidRPr="0043636F">
        <w:rPr>
          <w:bCs/>
        </w:rPr>
        <w:t xml:space="preserve">změna statutárního zástupce </w:t>
      </w:r>
      <w:r>
        <w:rPr>
          <w:bCs/>
        </w:rPr>
        <w:t>(</w:t>
      </w:r>
      <w:r>
        <w:t xml:space="preserve">doporučujeme </w:t>
      </w:r>
      <w:r w:rsidRPr="0043636F">
        <w:t>ozn</w:t>
      </w:r>
      <w:r>
        <w:t xml:space="preserve">ámit </w:t>
      </w:r>
      <w:r w:rsidRPr="0043636F">
        <w:t>neprodleně)</w:t>
      </w:r>
      <w:r w:rsidRPr="0043636F">
        <w:rPr>
          <w:bCs/>
        </w:rPr>
        <w:t xml:space="preserve">; </w:t>
      </w:r>
    </w:p>
    <w:p w:rsidR="00F71CA7" w:rsidRPr="0043636F" w:rsidRDefault="00F71CA7" w:rsidP="00F71CA7">
      <w:pPr>
        <w:pStyle w:val="Default"/>
        <w:numPr>
          <w:ilvl w:val="0"/>
          <w:numId w:val="3"/>
        </w:numPr>
        <w:ind w:left="709" w:hanging="425"/>
        <w:jc w:val="both"/>
      </w:pPr>
      <w:r w:rsidRPr="0043636F">
        <w:rPr>
          <w:bCs/>
        </w:rPr>
        <w:t xml:space="preserve">změna kontaktní osoby projektu a manažera projektu </w:t>
      </w:r>
      <w:r>
        <w:rPr>
          <w:bCs/>
        </w:rPr>
        <w:t>(</w:t>
      </w:r>
      <w:r>
        <w:t xml:space="preserve">doporučujeme </w:t>
      </w:r>
      <w:r w:rsidRPr="0043636F">
        <w:t>ozn</w:t>
      </w:r>
      <w:r>
        <w:t xml:space="preserve">ámit </w:t>
      </w:r>
      <w:r w:rsidRPr="0043636F">
        <w:t xml:space="preserve">neprodleně); </w:t>
      </w:r>
    </w:p>
    <w:p w:rsidR="00F71CA7" w:rsidRPr="0043636F" w:rsidRDefault="00F71CA7" w:rsidP="00F71CA7">
      <w:pPr>
        <w:pStyle w:val="Default"/>
        <w:numPr>
          <w:ilvl w:val="0"/>
          <w:numId w:val="3"/>
        </w:numPr>
        <w:ind w:left="709" w:hanging="425"/>
        <w:jc w:val="both"/>
      </w:pPr>
      <w:r w:rsidRPr="0043636F">
        <w:t>změna v osobě příjemce</w:t>
      </w:r>
      <w:r>
        <w:t>,</w:t>
      </w:r>
      <w:r w:rsidRPr="0043636F">
        <w:t xml:space="preserve"> např. formou</w:t>
      </w:r>
      <w:r>
        <w:t xml:space="preserve"> </w:t>
      </w:r>
      <w:r w:rsidRPr="0043636F">
        <w:t xml:space="preserve">sloučení, rozdělení apod., kdy </w:t>
      </w:r>
      <w:r>
        <w:t>subjekt doloží právní nástupnictví</w:t>
      </w:r>
      <w:r w:rsidRPr="0043636F">
        <w:t xml:space="preserve">, nikoli v případě zániku, kdy by povinnosti chtěl na sebe vzít dříve nezúčastněný subjekt </w:t>
      </w:r>
      <w:r>
        <w:t xml:space="preserve">(doporučujeme </w:t>
      </w:r>
      <w:r w:rsidRPr="0043636F">
        <w:t>ozn</w:t>
      </w:r>
      <w:r>
        <w:t xml:space="preserve">ámit </w:t>
      </w:r>
      <w:r w:rsidRPr="0043636F">
        <w:t>neprodleně);</w:t>
      </w:r>
    </w:p>
    <w:p w:rsidR="00F71CA7" w:rsidRPr="0043636F" w:rsidRDefault="00F71CA7" w:rsidP="00F71CA7">
      <w:pPr>
        <w:pStyle w:val="Default"/>
        <w:numPr>
          <w:ilvl w:val="0"/>
          <w:numId w:val="3"/>
        </w:numPr>
        <w:ind w:left="709" w:hanging="425"/>
        <w:jc w:val="both"/>
      </w:pPr>
      <w:r w:rsidRPr="0043636F">
        <w:lastRenderedPageBreak/>
        <w:t>nahrazení majetku pořízeného z</w:t>
      </w:r>
      <w:r>
        <w:t> podpory,</w:t>
      </w:r>
      <w:r w:rsidRPr="00810059">
        <w:t xml:space="preserve"> </w:t>
      </w:r>
      <w:r>
        <w:t>který měl příjemce/ partner povinnost určitou dobu udržet</w:t>
      </w:r>
      <w:r w:rsidRPr="0043636F">
        <w:t xml:space="preserve"> v případě </w:t>
      </w:r>
      <w:r>
        <w:t>poškození ztráty či odcizení (náhrada musí splňovat podmínky uvedené v Příručce pro příjemce finanční podpory z </w:t>
      </w:r>
      <w:proofErr w:type="gramStart"/>
      <w:r>
        <w:t>OP</w:t>
      </w:r>
      <w:proofErr w:type="gramEnd"/>
      <w:r>
        <w:t xml:space="preserve"> VK, kterou se příjemce v době ukončení projektu řídil)</w:t>
      </w:r>
      <w:r w:rsidRPr="0043636F">
        <w:t>;</w:t>
      </w:r>
    </w:p>
    <w:p w:rsidR="00F71CA7" w:rsidRDefault="00F71CA7" w:rsidP="00F71CA7">
      <w:pPr>
        <w:pStyle w:val="Default"/>
        <w:numPr>
          <w:ilvl w:val="0"/>
          <w:numId w:val="3"/>
        </w:numPr>
        <w:ind w:left="709" w:hanging="425"/>
        <w:jc w:val="both"/>
      </w:pPr>
      <w:r w:rsidRPr="0043636F">
        <w:t>rozšíření původní cílové skupiny (původní cílová skupina zůstane zachována)</w:t>
      </w:r>
      <w:r>
        <w:t>;</w:t>
      </w:r>
    </w:p>
    <w:p w:rsidR="00F71CA7" w:rsidRDefault="00F71CA7" w:rsidP="00F71CA7">
      <w:pPr>
        <w:pStyle w:val="Default"/>
        <w:numPr>
          <w:ilvl w:val="0"/>
          <w:numId w:val="3"/>
        </w:numPr>
        <w:ind w:left="709" w:hanging="425"/>
        <w:jc w:val="both"/>
      </w:pPr>
      <w:r w:rsidRPr="0043636F">
        <w:t>změna smlouvy příjemce s partnerem mající charakter nepodstatné změny.</w:t>
      </w:r>
    </w:p>
    <w:p w:rsidR="00F71CA7" w:rsidRDefault="00F71CA7" w:rsidP="00F71CA7">
      <w:pPr>
        <w:pStyle w:val="Default"/>
        <w:spacing w:before="120"/>
        <w:jc w:val="both"/>
      </w:pPr>
      <w:r>
        <w:t xml:space="preserve">Za nepodstatné změny jsou dále považovány všechny změny v harmonogramu, počtu akcí či počtu účastníků jednotlivých akcí atd., kdy v rámci jednotlivého období udržitelnosti, za které je vykazována </w:t>
      </w:r>
      <w:proofErr w:type="spellStart"/>
      <w:r>
        <w:t>MZoU</w:t>
      </w:r>
      <w:proofErr w:type="spellEnd"/>
      <w:r>
        <w:t xml:space="preserve">, dojde k naplnění závazku příjemce vztahujícímu se k tomuto období. Jedná se </w:t>
      </w:r>
      <w:r w:rsidRPr="00715D6A">
        <w:t>např.</w:t>
      </w:r>
      <w:r>
        <w:t xml:space="preserve"> o: </w:t>
      </w:r>
    </w:p>
    <w:p w:rsidR="00F71CA7" w:rsidRDefault="00F71CA7" w:rsidP="00F71CA7">
      <w:pPr>
        <w:pStyle w:val="Default"/>
        <w:numPr>
          <w:ilvl w:val="0"/>
          <w:numId w:val="6"/>
        </w:numPr>
        <w:ind w:left="709" w:hanging="425"/>
        <w:jc w:val="both"/>
      </w:pPr>
      <w:r>
        <w:t xml:space="preserve">změnu harmonogramu aktivit v rámci jednotlivého období udržitelnosti, za které je vykazována </w:t>
      </w:r>
      <w:proofErr w:type="spellStart"/>
      <w:r>
        <w:t>MZoU</w:t>
      </w:r>
      <w:proofErr w:type="spellEnd"/>
      <w:r>
        <w:t>;</w:t>
      </w:r>
    </w:p>
    <w:p w:rsidR="00F71CA7" w:rsidRDefault="00F71CA7" w:rsidP="00F71CA7">
      <w:pPr>
        <w:pStyle w:val="Default"/>
        <w:numPr>
          <w:ilvl w:val="0"/>
          <w:numId w:val="3"/>
        </w:numPr>
        <w:ind w:left="709" w:hanging="425"/>
        <w:jc w:val="both"/>
      </w:pPr>
      <w:r>
        <w:t>sloučení obdobných akcí, pokud rozsah agendy a počet účastníků zůstane zachován;</w:t>
      </w:r>
    </w:p>
    <w:p w:rsidR="00F71CA7" w:rsidRDefault="00F71CA7" w:rsidP="00F71CA7">
      <w:pPr>
        <w:pStyle w:val="Default"/>
        <w:numPr>
          <w:ilvl w:val="0"/>
          <w:numId w:val="3"/>
        </w:numPr>
        <w:spacing w:after="120"/>
        <w:ind w:left="709" w:hanging="425"/>
        <w:jc w:val="both"/>
      </w:pPr>
      <w:r>
        <w:t>změnu místa, kde aktivity udržitelnosti probíhají, pokud tato změna nijak neovlivní dostupnost pro cílovou skupinu či způsob provádění.</w:t>
      </w:r>
    </w:p>
    <w:p w:rsidR="00F71CA7" w:rsidRDefault="00F71CA7" w:rsidP="00F71CA7">
      <w:pPr>
        <w:pStyle w:val="Odstavecseseznamem"/>
        <w:numPr>
          <w:ilvl w:val="0"/>
          <w:numId w:val="1"/>
        </w:numPr>
        <w:spacing w:before="240" w:after="240"/>
        <w:ind w:left="0" w:firstLine="0"/>
        <w:jc w:val="both"/>
        <w:rPr>
          <w:rFonts w:ascii="Times New Roman" w:hAnsi="Times New Roman"/>
          <w:spacing w:val="0"/>
        </w:rPr>
      </w:pPr>
      <w:r w:rsidRPr="0043636F">
        <w:rPr>
          <w:rFonts w:ascii="Times New Roman" w:hAnsi="Times New Roman"/>
          <w:spacing w:val="0"/>
        </w:rPr>
        <w:t xml:space="preserve">Přípustnými změnami jsou rovněž změny ve způsobu naplnění stanovené povinnosti, nicméně ty již podléhají schválení ze strany poskytovatele </w:t>
      </w:r>
      <w:r>
        <w:rPr>
          <w:rFonts w:ascii="Times New Roman" w:hAnsi="Times New Roman"/>
          <w:spacing w:val="0"/>
        </w:rPr>
        <w:t>podpory</w:t>
      </w:r>
      <w:r w:rsidRPr="0043636F">
        <w:rPr>
          <w:rFonts w:ascii="Times New Roman" w:hAnsi="Times New Roman"/>
          <w:spacing w:val="0"/>
        </w:rPr>
        <w:t xml:space="preserve"> a v důsledku vedou ke změně nebo doplnění právního aktu o poskytnutí podpory, tzv. </w:t>
      </w:r>
      <w:r w:rsidRPr="00F92E14">
        <w:rPr>
          <w:rFonts w:ascii="Times New Roman" w:hAnsi="Times New Roman"/>
          <w:b/>
          <w:spacing w:val="0"/>
          <w:u w:val="single"/>
        </w:rPr>
        <w:t>podstatné změny</w:t>
      </w:r>
      <w:r w:rsidRPr="0043636F">
        <w:rPr>
          <w:rFonts w:ascii="Times New Roman" w:hAnsi="Times New Roman"/>
          <w:spacing w:val="0"/>
          <w:u w:val="single"/>
        </w:rPr>
        <w:t xml:space="preserve"> </w:t>
      </w:r>
      <w:r w:rsidRPr="00F92E14">
        <w:rPr>
          <w:rFonts w:ascii="Times New Roman" w:hAnsi="Times New Roman"/>
          <w:spacing w:val="0"/>
        </w:rPr>
        <w:t>udržitelnosti</w:t>
      </w:r>
      <w:r w:rsidRPr="00F92E14">
        <w:rPr>
          <w:rStyle w:val="Znakapoznpodarou"/>
          <w:rFonts w:ascii="Times New Roman" w:hAnsi="Times New Roman"/>
          <w:spacing w:val="0"/>
        </w:rPr>
        <w:footnoteReference w:id="2"/>
      </w:r>
      <w:r w:rsidRPr="0043636F">
        <w:rPr>
          <w:rFonts w:ascii="Times New Roman" w:hAnsi="Times New Roman"/>
          <w:spacing w:val="0"/>
        </w:rPr>
        <w:t>, za které je považována zejména:</w:t>
      </w:r>
    </w:p>
    <w:p w:rsidR="00F71CA7" w:rsidRPr="0052523F" w:rsidRDefault="00F71CA7" w:rsidP="00F71CA7">
      <w:pPr>
        <w:pStyle w:val="Odstavecseseznamem"/>
        <w:ind w:left="0"/>
        <w:jc w:val="both"/>
        <w:rPr>
          <w:rFonts w:ascii="Times New Roman" w:hAnsi="Times New Roman"/>
          <w:spacing w:val="0"/>
          <w:sz w:val="6"/>
          <w:szCs w:val="6"/>
        </w:rPr>
      </w:pPr>
    </w:p>
    <w:p w:rsidR="00F71CA7" w:rsidRPr="0043636F" w:rsidRDefault="00F71CA7" w:rsidP="00F71CA7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pacing w:val="0"/>
        </w:rPr>
      </w:pPr>
      <w:r w:rsidRPr="0043636F">
        <w:rPr>
          <w:rFonts w:ascii="Times New Roman" w:hAnsi="Times New Roman"/>
          <w:spacing w:val="0"/>
        </w:rPr>
        <w:t>změna konkrétních subjektů, se kterými příjemce původně deklaroval spolupráci v době udržitelnosti;</w:t>
      </w:r>
    </w:p>
    <w:p w:rsidR="00F71CA7" w:rsidRPr="0043636F" w:rsidRDefault="00F71CA7" w:rsidP="00F71CA7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pacing w:val="0"/>
        </w:rPr>
      </w:pPr>
      <w:r w:rsidRPr="0043636F">
        <w:rPr>
          <w:rFonts w:ascii="Times New Roman" w:hAnsi="Times New Roman"/>
          <w:spacing w:val="0"/>
        </w:rPr>
        <w:t>přesun mezi počty účastníků jednotlivých akcí v jednotlivých obdobích, za která se udržitelnost posuzuje tak, aby zůstal zachován počet účastníků za celé období udržitelnosti</w:t>
      </w:r>
      <w:r w:rsidRPr="0043636F">
        <w:rPr>
          <w:rStyle w:val="Znakapoznpodarou"/>
          <w:rFonts w:ascii="Times New Roman" w:hAnsi="Times New Roman"/>
          <w:spacing w:val="0"/>
        </w:rPr>
        <w:footnoteReference w:id="3"/>
      </w:r>
      <w:r w:rsidRPr="0043636F">
        <w:rPr>
          <w:rFonts w:ascii="Times New Roman" w:hAnsi="Times New Roman"/>
          <w:spacing w:val="0"/>
        </w:rPr>
        <w:t>;</w:t>
      </w:r>
    </w:p>
    <w:p w:rsidR="00F71CA7" w:rsidRPr="0043636F" w:rsidRDefault="00F71CA7" w:rsidP="00F71CA7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pacing w:val="0"/>
        </w:rPr>
      </w:pPr>
      <w:r w:rsidRPr="0043636F">
        <w:rPr>
          <w:rFonts w:ascii="Times New Roman" w:hAnsi="Times New Roman"/>
          <w:spacing w:val="0"/>
        </w:rPr>
        <w:t>přesun mezi počtem jednotlivých akcí v </w:t>
      </w:r>
      <w:r>
        <w:rPr>
          <w:rFonts w:ascii="Times New Roman" w:hAnsi="Times New Roman"/>
          <w:spacing w:val="0"/>
        </w:rPr>
        <w:t>různých</w:t>
      </w:r>
      <w:r w:rsidRPr="0043636F">
        <w:rPr>
          <w:rFonts w:ascii="Times New Roman" w:hAnsi="Times New Roman"/>
          <w:spacing w:val="0"/>
        </w:rPr>
        <w:t xml:space="preserve"> obdobích, za která se udržitelnost </w:t>
      </w:r>
      <w:r>
        <w:rPr>
          <w:rFonts w:ascii="Times New Roman" w:hAnsi="Times New Roman"/>
          <w:spacing w:val="0"/>
        </w:rPr>
        <w:t>vykazuje</w:t>
      </w:r>
      <w:r w:rsidRPr="0043636F">
        <w:rPr>
          <w:rFonts w:ascii="Times New Roman" w:hAnsi="Times New Roman"/>
          <w:spacing w:val="0"/>
        </w:rPr>
        <w:t xml:space="preserve"> tak, aby zůstal zachován počet akcí za celé období udržitelnosti;</w:t>
      </w:r>
    </w:p>
    <w:p w:rsidR="00F71CA7" w:rsidRDefault="00F71CA7" w:rsidP="00F71CA7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pacing w:val="0"/>
        </w:rPr>
      </w:pPr>
      <w:r w:rsidRPr="0043636F">
        <w:rPr>
          <w:rFonts w:ascii="Times New Roman" w:hAnsi="Times New Roman"/>
          <w:spacing w:val="0"/>
        </w:rPr>
        <w:t>změny vnějších okolností, při kterých již není možno naplnit původní závazek (např. při vyvinutí nových technologií již příjemce nebude školit překonané technologické postupy, ale inovované</w:t>
      </w:r>
      <w:r>
        <w:rPr>
          <w:rFonts w:ascii="Times New Roman" w:hAnsi="Times New Roman"/>
          <w:spacing w:val="0"/>
        </w:rPr>
        <w:t xml:space="preserve">, nebo při změně legislativy, kdy bude nutno upravit obsah a způsob provádění školení </w:t>
      </w:r>
      <w:r w:rsidRPr="0043636F">
        <w:rPr>
          <w:rFonts w:ascii="Times New Roman" w:hAnsi="Times New Roman"/>
          <w:spacing w:val="0"/>
        </w:rPr>
        <w:t>apod.);</w:t>
      </w:r>
    </w:p>
    <w:p w:rsidR="00F71CA7" w:rsidRDefault="00F71CA7" w:rsidP="00F71CA7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sloučení akcí původně plánovaných v různých obdobích udržitelnosti;</w:t>
      </w:r>
    </w:p>
    <w:p w:rsidR="00F71CA7" w:rsidRDefault="00F71CA7" w:rsidP="00F71CA7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změna v osobě partnera, nahrazení partnera, odstoupení partnera</w:t>
      </w:r>
      <w:r>
        <w:rPr>
          <w:rStyle w:val="Znakapoznpodarou"/>
          <w:rFonts w:ascii="Times New Roman" w:hAnsi="Times New Roman"/>
          <w:spacing w:val="0"/>
        </w:rPr>
        <w:footnoteReference w:id="4"/>
      </w:r>
      <w:r>
        <w:rPr>
          <w:rFonts w:ascii="Times New Roman" w:hAnsi="Times New Roman"/>
          <w:spacing w:val="0"/>
        </w:rPr>
        <w:t xml:space="preserve">; </w:t>
      </w:r>
    </w:p>
    <w:p w:rsidR="00F71CA7" w:rsidRPr="0043636F" w:rsidRDefault="00F71CA7" w:rsidP="00F71CA7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změna smlouvy příjemce s partnerem mající charakter podstatné změny;</w:t>
      </w:r>
    </w:p>
    <w:p w:rsidR="00F71CA7" w:rsidRPr="0043636F" w:rsidRDefault="00F71CA7" w:rsidP="00F71CA7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pacing w:val="0"/>
        </w:rPr>
      </w:pPr>
      <w:r w:rsidRPr="0043636F">
        <w:rPr>
          <w:rFonts w:ascii="Times New Roman" w:eastAsia="Calibri" w:hAnsi="Times New Roman"/>
          <w:bCs/>
          <w:spacing w:val="0"/>
        </w:rPr>
        <w:t>v případě pochybností se má za to, že jde o změnu podstatnou</w:t>
      </w:r>
      <w:r w:rsidRPr="0043636F">
        <w:rPr>
          <w:rFonts w:ascii="Times New Roman" w:eastAsia="Calibri" w:hAnsi="Times New Roman"/>
          <w:spacing w:val="0"/>
        </w:rPr>
        <w:t>.</w:t>
      </w:r>
    </w:p>
    <w:p w:rsidR="00F71CA7" w:rsidRPr="00F92E14" w:rsidRDefault="00F71CA7" w:rsidP="00F71CA7">
      <w:pPr>
        <w:spacing w:before="120"/>
        <w:jc w:val="both"/>
        <w:rPr>
          <w:rFonts w:ascii="Times New Roman" w:eastAsia="Calibri" w:hAnsi="Times New Roman"/>
          <w:bCs/>
          <w:spacing w:val="0"/>
        </w:rPr>
      </w:pPr>
      <w:r w:rsidRPr="00F92E14">
        <w:rPr>
          <w:rFonts w:ascii="Times New Roman" w:eastAsia="Calibri" w:hAnsi="Times New Roman"/>
          <w:bCs/>
          <w:spacing w:val="0"/>
        </w:rPr>
        <w:t>Rozhodnutí o schválení/neschválení změn proběhne nejpozději do 30 pracovních dní</w:t>
      </w:r>
      <w:r>
        <w:rPr>
          <w:rStyle w:val="Znakapoznpodarou"/>
          <w:rFonts w:ascii="Times New Roman" w:eastAsia="Calibri" w:hAnsi="Times New Roman"/>
          <w:bCs/>
          <w:spacing w:val="0"/>
        </w:rPr>
        <w:footnoteReference w:id="5"/>
      </w:r>
      <w:r w:rsidRPr="00F92E14">
        <w:rPr>
          <w:rFonts w:ascii="Times New Roman" w:eastAsia="Calibri" w:hAnsi="Times New Roman"/>
          <w:bCs/>
          <w:spacing w:val="0"/>
        </w:rPr>
        <w:t xml:space="preserve"> od předložení žádosti v písemné podobě </w:t>
      </w:r>
      <w:r>
        <w:rPr>
          <w:rFonts w:ascii="Times New Roman" w:eastAsia="Calibri" w:hAnsi="Times New Roman"/>
          <w:bCs/>
          <w:spacing w:val="0"/>
        </w:rPr>
        <w:t>(</w:t>
      </w:r>
      <w:r w:rsidRPr="00F92E14">
        <w:rPr>
          <w:rFonts w:ascii="Times New Roman" w:eastAsia="Calibri" w:hAnsi="Times New Roman"/>
          <w:bCs/>
          <w:spacing w:val="0"/>
        </w:rPr>
        <w:t xml:space="preserve">v případě </w:t>
      </w:r>
      <w:proofErr w:type="spellStart"/>
      <w:r w:rsidRPr="00F92E14">
        <w:rPr>
          <w:rFonts w:ascii="Times New Roman" w:eastAsia="Calibri" w:hAnsi="Times New Roman"/>
          <w:bCs/>
          <w:spacing w:val="0"/>
        </w:rPr>
        <w:t>IPn</w:t>
      </w:r>
      <w:proofErr w:type="spellEnd"/>
      <w:r w:rsidRPr="00F92E14">
        <w:rPr>
          <w:rFonts w:ascii="Times New Roman" w:eastAsia="Calibri" w:hAnsi="Times New Roman"/>
          <w:bCs/>
          <w:spacing w:val="0"/>
        </w:rPr>
        <w:t xml:space="preserve"> 60 kalendářních dnů). </w:t>
      </w:r>
    </w:p>
    <w:p w:rsidR="00F71CA7" w:rsidRDefault="00F71CA7" w:rsidP="00F71C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pacing w:val="0"/>
        </w:rPr>
      </w:pPr>
      <w:r w:rsidRPr="007E2719">
        <w:rPr>
          <w:rFonts w:ascii="Times New Roman" w:eastAsia="Calibri" w:hAnsi="Times New Roman"/>
          <w:bCs/>
          <w:spacing w:val="0"/>
        </w:rPr>
        <w:t>Podstatné změny projektu nesmí příjemce provést před jejich odsouhlasením</w:t>
      </w:r>
      <w:r>
        <w:rPr>
          <w:rFonts w:ascii="Times New Roman" w:eastAsia="Calibri" w:hAnsi="Times New Roman"/>
          <w:bCs/>
          <w:spacing w:val="0"/>
        </w:rPr>
        <w:t xml:space="preserve"> </w:t>
      </w:r>
      <w:r w:rsidRPr="007E2719">
        <w:rPr>
          <w:rFonts w:ascii="Times New Roman" w:eastAsia="Calibri" w:hAnsi="Times New Roman"/>
          <w:bCs/>
          <w:spacing w:val="0"/>
        </w:rPr>
        <w:t>poskytovatelem podpory. Odsouhlasení změn nelze provést se zpětnou platností.</w:t>
      </w:r>
      <w:r>
        <w:rPr>
          <w:rFonts w:ascii="Times New Roman" w:eastAsia="Calibri" w:hAnsi="Times New Roman"/>
          <w:bCs/>
          <w:spacing w:val="0"/>
        </w:rPr>
        <w:t xml:space="preserve"> Výjimkou je odsouhlasení změn</w:t>
      </w:r>
      <w:r w:rsidRPr="007E2719">
        <w:rPr>
          <w:rFonts w:ascii="Times New Roman" w:eastAsia="Calibri" w:hAnsi="Times New Roman"/>
          <w:bCs/>
          <w:spacing w:val="0"/>
        </w:rPr>
        <w:t>, jejichž příčinu příjemce nemohl ovlivnit.</w:t>
      </w:r>
    </w:p>
    <w:p w:rsidR="00F71CA7" w:rsidRPr="0043636F" w:rsidRDefault="00F71CA7" w:rsidP="00F71CA7">
      <w:pPr>
        <w:spacing w:after="240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lastRenderedPageBreak/>
        <w:t>Všechny změny budou následně popsány v </w:t>
      </w:r>
      <w:proofErr w:type="spellStart"/>
      <w:r>
        <w:rPr>
          <w:rFonts w:ascii="Times New Roman" w:hAnsi="Times New Roman"/>
          <w:spacing w:val="0"/>
        </w:rPr>
        <w:t>MZoU</w:t>
      </w:r>
      <w:proofErr w:type="spellEnd"/>
      <w:r>
        <w:rPr>
          <w:rFonts w:ascii="Times New Roman" w:hAnsi="Times New Roman"/>
          <w:spacing w:val="0"/>
        </w:rPr>
        <w:t>.</w:t>
      </w:r>
    </w:p>
    <w:p w:rsidR="00F71CA7" w:rsidRDefault="00F71CA7" w:rsidP="00F71CA7">
      <w:pPr>
        <w:pStyle w:val="Odstavecseseznamem"/>
        <w:numPr>
          <w:ilvl w:val="0"/>
          <w:numId w:val="1"/>
        </w:numPr>
        <w:spacing w:before="120" w:after="120"/>
        <w:ind w:hanging="720"/>
        <w:jc w:val="both"/>
        <w:rPr>
          <w:rFonts w:ascii="Times New Roman" w:hAnsi="Times New Roman"/>
          <w:spacing w:val="0"/>
        </w:rPr>
      </w:pPr>
      <w:r w:rsidRPr="0043636F">
        <w:rPr>
          <w:rFonts w:ascii="Times New Roman" w:hAnsi="Times New Roman"/>
          <w:spacing w:val="0"/>
        </w:rPr>
        <w:t xml:space="preserve">Za </w:t>
      </w:r>
      <w:r w:rsidRPr="00F92E14">
        <w:rPr>
          <w:rFonts w:ascii="Times New Roman" w:hAnsi="Times New Roman"/>
          <w:b/>
          <w:spacing w:val="0"/>
          <w:u w:val="single"/>
        </w:rPr>
        <w:t>nepřijatelné</w:t>
      </w:r>
      <w:r w:rsidRPr="00801FE7">
        <w:rPr>
          <w:rFonts w:ascii="Times New Roman" w:hAnsi="Times New Roman"/>
          <w:spacing w:val="0"/>
        </w:rPr>
        <w:t xml:space="preserve"> jsou považovány tyto </w:t>
      </w:r>
      <w:r w:rsidRPr="00F92E14">
        <w:rPr>
          <w:rFonts w:ascii="Times New Roman" w:hAnsi="Times New Roman"/>
          <w:b/>
          <w:spacing w:val="0"/>
          <w:u w:val="single"/>
        </w:rPr>
        <w:t>změny</w:t>
      </w:r>
      <w:r w:rsidRPr="00F92E14">
        <w:rPr>
          <w:rFonts w:ascii="Times New Roman" w:hAnsi="Times New Roman"/>
          <w:b/>
          <w:spacing w:val="0"/>
        </w:rPr>
        <w:t xml:space="preserve"> </w:t>
      </w:r>
      <w:r w:rsidRPr="0043636F">
        <w:rPr>
          <w:rFonts w:ascii="Times New Roman" w:hAnsi="Times New Roman"/>
          <w:spacing w:val="0"/>
        </w:rPr>
        <w:t>realizace IP a GP:</w:t>
      </w:r>
    </w:p>
    <w:p w:rsidR="00F71CA7" w:rsidRPr="00F92E14" w:rsidRDefault="00F71CA7" w:rsidP="00F71CA7">
      <w:pPr>
        <w:pStyle w:val="Odstavecseseznamem"/>
        <w:spacing w:before="120" w:after="120"/>
        <w:jc w:val="both"/>
        <w:rPr>
          <w:rFonts w:ascii="Times New Roman" w:hAnsi="Times New Roman"/>
          <w:spacing w:val="0"/>
          <w:sz w:val="12"/>
          <w:szCs w:val="12"/>
        </w:rPr>
      </w:pPr>
    </w:p>
    <w:p w:rsidR="00F71CA7" w:rsidRPr="00F92E14" w:rsidRDefault="00F71CA7" w:rsidP="00F71CA7">
      <w:pPr>
        <w:pStyle w:val="Odstavecseseznamem"/>
        <w:numPr>
          <w:ilvl w:val="0"/>
          <w:numId w:val="7"/>
        </w:numPr>
        <w:spacing w:before="240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  <w:spacing w:val="0"/>
        </w:rPr>
        <w:t>změna ve vlastnictví majetku (vybavení, investice), které bylo pořízeno z projektových prostředků, pokud z podmínek poskytnutí podpory plyne povinnost udržet pořízené zařízení/ vybavení – musí zůstat ve vlastnictví příjemce</w:t>
      </w:r>
      <w:r w:rsidRPr="001741C3">
        <w:rPr>
          <w:rStyle w:val="Znakapoznpodarou"/>
          <w:rFonts w:ascii="Times New Roman" w:hAnsi="Times New Roman"/>
          <w:spacing w:val="0"/>
        </w:rPr>
        <w:footnoteReference w:id="6"/>
      </w:r>
      <w:r w:rsidRPr="00F92E14">
        <w:rPr>
          <w:rFonts w:ascii="Times New Roman" w:hAnsi="Times New Roman"/>
        </w:rPr>
        <w:t>;</w:t>
      </w:r>
    </w:p>
    <w:p w:rsidR="00F71CA7" w:rsidRDefault="00F71CA7" w:rsidP="00F71CA7">
      <w:pPr>
        <w:pStyle w:val="Odstavecseseznamem"/>
        <w:numPr>
          <w:ilvl w:val="0"/>
          <w:numId w:val="5"/>
        </w:numPr>
        <w:spacing w:before="120"/>
        <w:ind w:hanging="430"/>
        <w:jc w:val="both"/>
        <w:rPr>
          <w:rFonts w:ascii="Times New Roman" w:hAnsi="Times New Roman"/>
          <w:spacing w:val="0"/>
        </w:rPr>
      </w:pPr>
      <w:r w:rsidRPr="0043636F">
        <w:rPr>
          <w:rFonts w:ascii="Times New Roman" w:hAnsi="Times New Roman"/>
          <w:spacing w:val="0"/>
        </w:rPr>
        <w:t>změny, které zásadním způsobem mění původní závazek udržitelnosti (např. závazek uspořádání 1 konference ročně by příjemce chtěl nahradit vydáním publikace, či navázáním spolupráce s jiným subjektem apod.);</w:t>
      </w:r>
    </w:p>
    <w:p w:rsidR="00F71CA7" w:rsidRDefault="00F71CA7" w:rsidP="00F71CA7">
      <w:pPr>
        <w:pStyle w:val="Odstavecseseznamem"/>
        <w:numPr>
          <w:ilvl w:val="0"/>
          <w:numId w:val="5"/>
        </w:numPr>
        <w:spacing w:before="120"/>
        <w:ind w:hanging="430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změny závazku, který navrhla a schválila Výběrová komise/ Expertní skupina/ Grémium zpravodajů na základě hodnocení projektu;</w:t>
      </w:r>
    </w:p>
    <w:p w:rsidR="00F71CA7" w:rsidRPr="0043636F" w:rsidRDefault="00F71CA7" w:rsidP="00F71CA7">
      <w:pPr>
        <w:pStyle w:val="Odstavecseseznamem"/>
        <w:numPr>
          <w:ilvl w:val="0"/>
          <w:numId w:val="5"/>
        </w:numPr>
        <w:spacing w:before="120"/>
        <w:ind w:hanging="430"/>
        <w:jc w:val="both"/>
        <w:rPr>
          <w:rFonts w:ascii="Times New Roman" w:hAnsi="Times New Roman"/>
          <w:spacing w:val="0"/>
        </w:rPr>
      </w:pPr>
      <w:r w:rsidRPr="0043636F">
        <w:rPr>
          <w:rFonts w:ascii="Times New Roman" w:hAnsi="Times New Roman"/>
          <w:spacing w:val="0"/>
        </w:rPr>
        <w:t>ukončení nebo zkrácení doby udržitelnosti.</w:t>
      </w:r>
    </w:p>
    <w:p w:rsidR="00C84253" w:rsidRDefault="00C84253" w:rsidP="00F71CA7">
      <w:pPr>
        <w:spacing w:before="120"/>
        <w:jc w:val="both"/>
        <w:rPr>
          <w:rFonts w:ascii="Times New Roman" w:hAnsi="Times New Roman"/>
          <w:b/>
          <w:spacing w:val="0"/>
        </w:rPr>
      </w:pPr>
    </w:p>
    <w:p w:rsidR="00F71CA7" w:rsidRPr="00C84253" w:rsidRDefault="00F71CA7" w:rsidP="00F71CA7">
      <w:pPr>
        <w:spacing w:before="120"/>
        <w:jc w:val="both"/>
        <w:rPr>
          <w:rFonts w:ascii="Times New Roman" w:hAnsi="Times New Roman"/>
          <w:b/>
          <w:spacing w:val="0"/>
        </w:rPr>
      </w:pPr>
      <w:r w:rsidRPr="00C84253">
        <w:rPr>
          <w:rFonts w:ascii="Times New Roman" w:hAnsi="Times New Roman"/>
          <w:b/>
          <w:spacing w:val="0"/>
        </w:rPr>
        <w:t>Charak</w:t>
      </w:r>
      <w:r w:rsidR="00C84253" w:rsidRPr="00C84253">
        <w:rPr>
          <w:rFonts w:ascii="Times New Roman" w:hAnsi="Times New Roman"/>
          <w:b/>
          <w:spacing w:val="0"/>
        </w:rPr>
        <w:t>t</w:t>
      </w:r>
      <w:r w:rsidRPr="00C84253">
        <w:rPr>
          <w:rFonts w:ascii="Times New Roman" w:hAnsi="Times New Roman"/>
          <w:b/>
          <w:spacing w:val="0"/>
        </w:rPr>
        <w:t>e</w:t>
      </w:r>
      <w:r w:rsidR="00C84253" w:rsidRPr="00C84253">
        <w:rPr>
          <w:rFonts w:ascii="Times New Roman" w:hAnsi="Times New Roman"/>
          <w:b/>
          <w:spacing w:val="0"/>
        </w:rPr>
        <w:t>r</w:t>
      </w:r>
      <w:r w:rsidRPr="00C84253">
        <w:rPr>
          <w:rStyle w:val="Znakapoznpodarou"/>
          <w:rFonts w:ascii="Times New Roman" w:hAnsi="Times New Roman"/>
          <w:b/>
          <w:spacing w:val="0"/>
        </w:rPr>
        <w:footnoteReference w:id="7"/>
      </w:r>
      <w:r w:rsidRPr="00C84253">
        <w:rPr>
          <w:rFonts w:ascii="Times New Roman" w:hAnsi="Times New Roman"/>
          <w:b/>
          <w:spacing w:val="0"/>
        </w:rPr>
        <w:t xml:space="preserve"> změn </w:t>
      </w:r>
      <w:r w:rsidRPr="00C84253">
        <w:rPr>
          <w:rFonts w:ascii="Times New Roman" w:hAnsi="Times New Roman"/>
          <w:b/>
          <w:spacing w:val="0"/>
        </w:rPr>
        <w:t xml:space="preserve">konzultujte </w:t>
      </w:r>
      <w:r w:rsidRPr="00C84253">
        <w:rPr>
          <w:rFonts w:ascii="Times New Roman" w:hAnsi="Times New Roman"/>
          <w:b/>
          <w:spacing w:val="0"/>
        </w:rPr>
        <w:t xml:space="preserve">s poskytovatelem podpory </w:t>
      </w:r>
      <w:r w:rsidRPr="00C84253">
        <w:rPr>
          <w:rFonts w:ascii="Times New Roman" w:hAnsi="Times New Roman"/>
          <w:b/>
          <w:spacing w:val="0"/>
        </w:rPr>
        <w:t xml:space="preserve">(zprostředkující subjekt) </w:t>
      </w:r>
      <w:r w:rsidRPr="00C84253">
        <w:rPr>
          <w:rFonts w:ascii="Times New Roman" w:hAnsi="Times New Roman"/>
          <w:b/>
          <w:spacing w:val="0"/>
        </w:rPr>
        <w:t>předem.</w:t>
      </w:r>
    </w:p>
    <w:p w:rsidR="007513FA" w:rsidRDefault="007513FA"/>
    <w:sectPr w:rsidR="007513FA" w:rsidSect="0075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A7" w:rsidRDefault="00F71CA7" w:rsidP="00F71CA7">
      <w:r>
        <w:separator/>
      </w:r>
    </w:p>
  </w:endnote>
  <w:endnote w:type="continuationSeparator" w:id="0">
    <w:p w:rsidR="00F71CA7" w:rsidRDefault="00F71CA7" w:rsidP="00F7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A7" w:rsidRDefault="00F71CA7" w:rsidP="00F71CA7">
      <w:r>
        <w:separator/>
      </w:r>
    </w:p>
  </w:footnote>
  <w:footnote w:type="continuationSeparator" w:id="0">
    <w:p w:rsidR="00F71CA7" w:rsidRDefault="00F71CA7" w:rsidP="00F71CA7">
      <w:r>
        <w:continuationSeparator/>
      </w:r>
    </w:p>
  </w:footnote>
  <w:footnote w:id="1">
    <w:p w:rsidR="00F71CA7" w:rsidRDefault="00F71CA7" w:rsidP="00F71CA7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Je možné informovat formou e-</w:t>
      </w:r>
      <w:r w:rsidRPr="000C1C31">
        <w:t>mailu, pokud to charakter změny umožňuje</w:t>
      </w:r>
      <w:r>
        <w:t>. Všechny takto oznámené změny budou následně zaneseny v </w:t>
      </w:r>
      <w:proofErr w:type="spellStart"/>
      <w:r>
        <w:t>MZoU</w:t>
      </w:r>
      <w:proofErr w:type="spellEnd"/>
      <w:r>
        <w:t>.</w:t>
      </w:r>
    </w:p>
  </w:footnote>
  <w:footnote w:id="2">
    <w:p w:rsidR="00F71CA7" w:rsidRDefault="00F71CA7" w:rsidP="00F71CA7">
      <w:pPr>
        <w:pStyle w:val="Textpoznpodarou"/>
        <w:spacing w:after="60"/>
      </w:pPr>
      <w:r>
        <w:rPr>
          <w:rStyle w:val="Znakapoznpodarou"/>
        </w:rPr>
        <w:footnoteRef/>
      </w:r>
      <w:r>
        <w:t xml:space="preserve"> Změny, které vedou k úpravě způsobu provádění udržitelnosti, který je uveden v projektové žádosti, v části IV. Popis projektu/ Popis realizace plánovaných aktivit po ukončení financování z ESF </w:t>
      </w:r>
      <w:r w:rsidRPr="0052523F">
        <w:t xml:space="preserve">a případně jsou dále zpřesněny </w:t>
      </w:r>
      <w:r>
        <w:t xml:space="preserve">v závěrečné monitorovací zprávě (dále jen „ZMZ“), oddíl 2, </w:t>
      </w:r>
      <w:r w:rsidRPr="0052523F">
        <w:t>část Udržitelnost projektu (dříve samostatná příloha ZMZ Souhrnná informace o realizaci projektu)</w:t>
      </w:r>
      <w:r>
        <w:t>.</w:t>
      </w:r>
    </w:p>
  </w:footnote>
  <w:footnote w:id="3">
    <w:p w:rsidR="00F71CA7" w:rsidRDefault="00F71CA7" w:rsidP="00F71CA7">
      <w:pPr>
        <w:pStyle w:val="Textpoznpodarou"/>
        <w:spacing w:after="60"/>
      </w:pPr>
      <w:r>
        <w:rPr>
          <w:rStyle w:val="Znakapoznpodarou"/>
        </w:rPr>
        <w:footnoteRef/>
      </w:r>
      <w:r>
        <w:t xml:space="preserve"> Např. příjemce se zavázal proškolit 10 osob každý rok udržitelnosti, jeden rok neproškolí, ale další </w:t>
      </w:r>
      <w:proofErr w:type="gramStart"/>
      <w:r>
        <w:t>rok(y) proškolí</w:t>
      </w:r>
      <w:proofErr w:type="gramEnd"/>
      <w:r>
        <w:t xml:space="preserve"> o 10 osob více.</w:t>
      </w:r>
    </w:p>
  </w:footnote>
  <w:footnote w:id="4">
    <w:p w:rsidR="00F71CA7" w:rsidRDefault="00F71CA7" w:rsidP="00F71CA7">
      <w:pPr>
        <w:pStyle w:val="Textpoznpodarou"/>
        <w:spacing w:after="60"/>
      </w:pPr>
      <w:r>
        <w:rPr>
          <w:rStyle w:val="Znakapoznpodarou"/>
        </w:rPr>
        <w:footnoteRef/>
      </w:r>
      <w:r>
        <w:t xml:space="preserve"> Při odstoupení partnera musí jeho závazky převzít jiný partner nebo příjemce.</w:t>
      </w:r>
    </w:p>
  </w:footnote>
  <w:footnote w:id="5">
    <w:p w:rsidR="00F71CA7" w:rsidRDefault="00F71CA7" w:rsidP="00F71CA7">
      <w:pPr>
        <w:pStyle w:val="Textpoznpodarou"/>
      </w:pPr>
      <w:r>
        <w:rPr>
          <w:rStyle w:val="Znakapoznpodarou"/>
        </w:rPr>
        <w:footnoteRef/>
      </w:r>
      <w:r>
        <w:t xml:space="preserve"> ZS může stanovit jiný termín s ohledem na délku administrativního procesu schvalování změny.</w:t>
      </w:r>
    </w:p>
  </w:footnote>
  <w:footnote w:id="6">
    <w:p w:rsidR="00F71CA7" w:rsidRDefault="00F71CA7" w:rsidP="00F71CA7">
      <w:pPr>
        <w:pStyle w:val="Textpoznpodarou"/>
        <w:spacing w:after="60"/>
      </w:pPr>
      <w:r>
        <w:rPr>
          <w:rStyle w:val="Znakapoznpodarou"/>
        </w:rPr>
        <w:footnoteRef/>
      </w:r>
      <w:r>
        <w:t xml:space="preserve"> Lze akceptovat změnu vlastnictví mezi příjemcem a finančními partnery, pokud tím nebudou porušeny podmínky pro poskytnutí veřejné podpory či podpory de </w:t>
      </w:r>
      <w:proofErr w:type="spellStart"/>
      <w:r>
        <w:t>minimis</w:t>
      </w:r>
      <w:proofErr w:type="spellEnd"/>
      <w:r>
        <w:t>.</w:t>
      </w:r>
    </w:p>
  </w:footnote>
  <w:footnote w:id="7">
    <w:p w:rsidR="00F71CA7" w:rsidRDefault="00F71CA7" w:rsidP="00F71CA7">
      <w:pPr>
        <w:pStyle w:val="Textpoznpodarou"/>
        <w:spacing w:after="60"/>
      </w:pPr>
      <w:r>
        <w:rPr>
          <w:rStyle w:val="Znakapoznpodarou"/>
        </w:rPr>
        <w:footnoteRef/>
      </w:r>
      <w:r>
        <w:t xml:space="preserve"> Myšleno podstatná/ nepodstatná/ nepřijatelná změna v období udržitelnosti.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3AC"/>
    <w:multiLevelType w:val="hybridMultilevel"/>
    <w:tmpl w:val="FCEA4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07C7B"/>
    <w:multiLevelType w:val="hybridMultilevel"/>
    <w:tmpl w:val="A9A0FA5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D12318"/>
    <w:multiLevelType w:val="hybridMultilevel"/>
    <w:tmpl w:val="EBF81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85260"/>
    <w:multiLevelType w:val="hybridMultilevel"/>
    <w:tmpl w:val="DF9E5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23F87"/>
    <w:multiLevelType w:val="hybridMultilevel"/>
    <w:tmpl w:val="877AF000"/>
    <w:lvl w:ilvl="0" w:tplc="AE9063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71003"/>
    <w:multiLevelType w:val="hybridMultilevel"/>
    <w:tmpl w:val="C5FE5D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9A6FED"/>
    <w:multiLevelType w:val="hybridMultilevel"/>
    <w:tmpl w:val="4B4AA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CA7"/>
    <w:rsid w:val="003802A6"/>
    <w:rsid w:val="0054793A"/>
    <w:rsid w:val="005B12F0"/>
    <w:rsid w:val="006A2EBC"/>
    <w:rsid w:val="007513FA"/>
    <w:rsid w:val="0096365A"/>
    <w:rsid w:val="00A11973"/>
    <w:rsid w:val="00A275AE"/>
    <w:rsid w:val="00C84253"/>
    <w:rsid w:val="00D2543E"/>
    <w:rsid w:val="00F7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CA7"/>
    <w:pPr>
      <w:spacing w:after="0" w:line="240" w:lineRule="auto"/>
    </w:pPr>
    <w:rPr>
      <w:rFonts w:ascii="Times" w:eastAsia="Times New Roman" w:hAnsi="Times" w:cs="Times New Roman"/>
      <w:spacing w:val="2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,Schriftart: 9 pt,Schriftart: 10 pt,Schriftart: 8 pt,Fußnotentextf,Geneva 9,Font: Geneva 9,Boston 10,f,pozn. pod čarou,Podrozdział,Podrozdzia3"/>
    <w:basedOn w:val="Normln"/>
    <w:link w:val="TextpoznpodarouChar"/>
    <w:rsid w:val="00F71CA7"/>
    <w:pPr>
      <w:jc w:val="both"/>
    </w:pPr>
    <w:rPr>
      <w:rFonts w:ascii="Times New Roman" w:hAnsi="Times New Roman"/>
      <w:spacing w:val="0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pozn. pod čarou Char,Podrozdział Char"/>
    <w:basedOn w:val="Standardnpsmoodstavce"/>
    <w:link w:val="Textpoznpodarou"/>
    <w:rsid w:val="00F71CA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rsid w:val="00F71CA7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F71CA7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71CA7"/>
    <w:rPr>
      <w:rFonts w:ascii="Times" w:eastAsia="Times New Roman" w:hAnsi="Times" w:cs="Times New Roman"/>
      <w:spacing w:val="20"/>
      <w:sz w:val="24"/>
      <w:szCs w:val="24"/>
      <w:lang w:eastAsia="cs-CZ"/>
    </w:rPr>
  </w:style>
  <w:style w:type="paragraph" w:customStyle="1" w:styleId="Default">
    <w:name w:val="Default"/>
    <w:rsid w:val="00F71C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5102</Characters>
  <Application>Microsoft Office Word</Application>
  <DocSecurity>0</DocSecurity>
  <Lines>42</Lines>
  <Paragraphs>11</Paragraphs>
  <ScaleCrop>false</ScaleCrop>
  <Company>Krajský úřad, Královehradecký kraj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</dc:creator>
  <cp:lastModifiedBy>280</cp:lastModifiedBy>
  <cp:revision>2</cp:revision>
  <dcterms:created xsi:type="dcterms:W3CDTF">2015-03-27T09:44:00Z</dcterms:created>
  <dcterms:modified xsi:type="dcterms:W3CDTF">2015-03-27T09:50:00Z</dcterms:modified>
</cp:coreProperties>
</file>