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764D" w14:textId="1C5C85B7" w:rsidR="009D2C7E" w:rsidRPr="000621FD" w:rsidRDefault="003462C8" w:rsidP="002E781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lang w:eastAsia="cs-CZ"/>
        </w:rPr>
      </w:pPr>
      <w:r>
        <w:rPr>
          <w:rFonts w:ascii="Times New Roman" w:eastAsia="Times New Roman" w:hAnsi="Times New Roman" w:cs="Times New Roman"/>
          <w:color w:val="212121"/>
          <w:kern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212121"/>
          <w:kern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212121"/>
          <w:kern w:val="36"/>
          <w:lang w:eastAsia="cs-CZ"/>
        </w:rPr>
        <w:tab/>
      </w:r>
      <w:r w:rsidR="00722BED" w:rsidRPr="000621FD">
        <w:rPr>
          <w:rFonts w:ascii="Times New Roman" w:eastAsia="Times New Roman" w:hAnsi="Times New Roman" w:cs="Times New Roman"/>
          <w:color w:val="212121"/>
          <w:kern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212121"/>
          <w:kern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212121"/>
          <w:kern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212121"/>
          <w:kern w:val="36"/>
          <w:lang w:eastAsia="cs-CZ"/>
        </w:rPr>
        <w:tab/>
      </w:r>
      <w:r>
        <w:rPr>
          <w:rFonts w:ascii="Times New Roman" w:eastAsia="Times New Roman" w:hAnsi="Times New Roman" w:cs="Times New Roman"/>
          <w:color w:val="212121"/>
          <w:kern w:val="36"/>
          <w:lang w:eastAsia="cs-CZ"/>
        </w:rPr>
        <w:tab/>
      </w:r>
      <w:r w:rsidR="00722BED" w:rsidRPr="000621FD">
        <w:rPr>
          <w:noProof/>
        </w:rPr>
        <w:t xml:space="preserve"> </w:t>
      </w:r>
      <w:r>
        <w:rPr>
          <w:noProof/>
          <w:color w:val="1F497D"/>
          <w:lang w:eastAsia="cs-CZ"/>
        </w:rPr>
        <w:drawing>
          <wp:inline distT="0" distB="0" distL="0" distR="0" wp14:anchorId="1323B5C3" wp14:editId="599189E6">
            <wp:extent cx="2673350" cy="603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2F24" w14:textId="24827BAD" w:rsidR="00674D1D" w:rsidRDefault="003462C8" w:rsidP="002E781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cs-CZ"/>
        </w:rPr>
      </w:pPr>
      <w:r w:rsidRPr="002E781C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cs-CZ"/>
        </w:rPr>
        <w:t>Preventivní prohlídky</w:t>
      </w:r>
    </w:p>
    <w:p w14:paraId="3CCF5D30" w14:textId="77777777" w:rsidR="003462C8" w:rsidRPr="000621FD" w:rsidRDefault="003462C8" w:rsidP="002E781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lang w:eastAsia="cs-CZ"/>
        </w:rPr>
      </w:pPr>
    </w:p>
    <w:p w14:paraId="1C258EFD" w14:textId="6E2FB1CF" w:rsidR="00674D1D" w:rsidRPr="00C169BA" w:rsidRDefault="00674D1D" w:rsidP="002E781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cs-CZ"/>
        </w:rPr>
      </w:pPr>
      <w:r w:rsidRPr="00C169BA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cs-CZ"/>
        </w:rPr>
        <w:t>Lékařské preventivní prohlídky zachraňují lidské životy a podporují zdraví nás všech.</w:t>
      </w:r>
    </w:p>
    <w:p w14:paraId="36C53628" w14:textId="1CDCD1F9" w:rsidR="00674D1D" w:rsidRPr="00C169BA" w:rsidRDefault="00674D1D" w:rsidP="002E781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cs-CZ"/>
        </w:rPr>
      </w:pPr>
      <w:r w:rsidRPr="00C169BA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cs-CZ"/>
        </w:rPr>
        <w:t xml:space="preserve">Preventivní prohlídky jsou pro pojištěnce v rámci ČR plně hrazeny ze zdravotního pojištění. </w:t>
      </w:r>
    </w:p>
    <w:p w14:paraId="11215C6B" w14:textId="77777777" w:rsidR="009B7696" w:rsidRPr="00C169BA" w:rsidRDefault="009B7696" w:rsidP="002E781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cs-CZ"/>
        </w:rPr>
      </w:pPr>
    </w:p>
    <w:p w14:paraId="27DA0596" w14:textId="23D0823E" w:rsidR="00674D1D" w:rsidRPr="00C169BA" w:rsidRDefault="00674D1D" w:rsidP="002E781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C169BA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cs-CZ"/>
        </w:rPr>
        <w:t>Máte nárok na tyto preventivní prohlídky</w:t>
      </w:r>
      <w:r w:rsidRPr="00C169BA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</w:t>
      </w:r>
      <w:r w:rsidRPr="00C169BA">
        <w:rPr>
          <w:rFonts w:ascii="Times New Roman" w:eastAsia="Times New Roman" w:hAnsi="Times New Roman" w:cs="Times New Roman"/>
          <w:i/>
          <w:iCs/>
          <w:color w:val="212121"/>
          <w:kern w:val="36"/>
          <w:sz w:val="24"/>
          <w:szCs w:val="24"/>
          <w:lang w:eastAsia="cs-CZ"/>
        </w:rPr>
        <w:t>(dle vyhlášky č. 70/2012 Sb., o preventivních prohlídkách – zde rozepsáno detailně)</w:t>
      </w:r>
      <w:r w:rsidRPr="00C169BA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:</w:t>
      </w:r>
      <w:r w:rsidRPr="00C169BA">
        <w:rPr>
          <w:rFonts w:ascii="Times New Roman" w:eastAsia="Times New Roman" w:hAnsi="Times New Roman" w:cs="Times New Roman"/>
          <w:i/>
          <w:iCs/>
          <w:color w:val="212121"/>
          <w:kern w:val="36"/>
          <w:sz w:val="24"/>
          <w:szCs w:val="24"/>
          <w:lang w:eastAsia="cs-CZ"/>
        </w:rPr>
        <w:t xml:space="preserve"> </w:t>
      </w:r>
    </w:p>
    <w:p w14:paraId="70E9317F" w14:textId="687B31FE" w:rsidR="0034472E" w:rsidRDefault="007C7C9C" w:rsidP="0034472E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</w:pPr>
      <w:r w:rsidRPr="0034472E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 xml:space="preserve">A) </w:t>
      </w:r>
      <w:r w:rsidR="00C169B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>Všeobecn</w:t>
      </w:r>
      <w:r w:rsidR="000459A4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>ou</w:t>
      </w:r>
      <w:r w:rsidR="00C169B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 xml:space="preserve"> preventivní prohlídk</w:t>
      </w:r>
      <w:r w:rsidR="000459A4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>u</w:t>
      </w:r>
      <w:r w:rsidR="00C169B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 xml:space="preserve"> u dětí</w:t>
      </w:r>
      <w:r w:rsidR="0034472E" w:rsidRPr="0034472E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 xml:space="preserve"> </w:t>
      </w:r>
      <w:r w:rsidR="0034472E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>u registrujícího lékaře pro děti a dorost</w:t>
      </w:r>
    </w:p>
    <w:p w14:paraId="234BDEAC" w14:textId="77777777" w:rsidR="00C169BA" w:rsidRDefault="00C169BA" w:rsidP="0034472E">
      <w:pPr>
        <w:pStyle w:val="l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124A3D8" w14:textId="5DAC6991" w:rsidR="0034472E" w:rsidRPr="0034472E" w:rsidRDefault="0034472E" w:rsidP="00C169BA">
      <w:pPr>
        <w:pStyle w:val="l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72E">
        <w:rPr>
          <w:color w:val="000000"/>
        </w:rPr>
        <w:t>Obsahem všeobecných preventivních prohlídek dětí od narození do 18 měsíců věku je:</w:t>
      </w:r>
    </w:p>
    <w:p w14:paraId="05AE6F29" w14:textId="6EC795D2" w:rsidR="0034472E" w:rsidRPr="0034472E" w:rsidRDefault="0034472E" w:rsidP="0034472E">
      <w:pPr>
        <w:pStyle w:val="Odstavecseseznamem"/>
        <w:numPr>
          <w:ilvl w:val="0"/>
          <w:numId w:val="8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3447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založení zdravotnické dokumentace při přijetí dítěte do péče</w:t>
      </w:r>
      <w:r w:rsidRPr="0034472E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,</w:t>
      </w:r>
    </w:p>
    <w:p w14:paraId="0FEB3BA2" w14:textId="628614EC" w:rsidR="0034472E" w:rsidRPr="0034472E" w:rsidRDefault="0034472E" w:rsidP="0034472E">
      <w:pPr>
        <w:pStyle w:val="Odstavecseseznamem"/>
        <w:numPr>
          <w:ilvl w:val="0"/>
          <w:numId w:val="8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34472E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cs-CZ"/>
        </w:rPr>
        <w:t>anamnéza a zjištění změn zdravotního stavu od poslední kontroly, kontrola očkování dítěte</w:t>
      </w:r>
      <w:r w:rsidRPr="0034472E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, popřípadě doplnění chybějícího očkování, v rozsahu stanoveném právními předpisy upravujícími očkování proti infekčním nemocem,</w:t>
      </w:r>
    </w:p>
    <w:p w14:paraId="4E5B711F" w14:textId="2A98CCD2" w:rsidR="0034472E" w:rsidRPr="0034472E" w:rsidRDefault="0034472E" w:rsidP="0034472E">
      <w:pPr>
        <w:pStyle w:val="Odstavecseseznamem"/>
        <w:numPr>
          <w:ilvl w:val="0"/>
          <w:numId w:val="8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34472E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cs-CZ"/>
        </w:rPr>
        <w:t>fyzikální vyšetření, jehož součástí je</w:t>
      </w:r>
      <w:r w:rsidRPr="0034472E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:</w:t>
      </w:r>
    </w:p>
    <w:p w14:paraId="250F7FBD" w14:textId="3FF4EC73" w:rsidR="0034472E" w:rsidRPr="0034472E" w:rsidRDefault="0034472E" w:rsidP="0034472E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447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zjištění hmotnosti, délky dítěte a obvodu jeho hlavy, zhodnocení těchto parametrů podle růstových grafů,</w:t>
      </w:r>
    </w:p>
    <w:p w14:paraId="5EA44874" w14:textId="41204472" w:rsidR="0034472E" w:rsidRPr="0034472E" w:rsidRDefault="0034472E" w:rsidP="0034472E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447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interní vyšetření,</w:t>
      </w:r>
    </w:p>
    <w:p w14:paraId="5F7C7F54" w14:textId="38F5096E" w:rsidR="0034472E" w:rsidRPr="0034472E" w:rsidRDefault="0034472E" w:rsidP="0034472E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447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vyšetření psychomotorického vývoje,</w:t>
      </w:r>
    </w:p>
    <w:p w14:paraId="462D96A7" w14:textId="1E804372" w:rsidR="0034472E" w:rsidRPr="0034472E" w:rsidRDefault="0034472E" w:rsidP="0034472E">
      <w:pPr>
        <w:pStyle w:val="Odstavecseseznamem"/>
        <w:numPr>
          <w:ilvl w:val="0"/>
          <w:numId w:val="9"/>
        </w:num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447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cílené vyšetření specifické pro daný věk a zjištění zdravotního rizika včetně rizika týrání, zanedbávání a zneužívání dítěte,</w:t>
      </w:r>
    </w:p>
    <w:p w14:paraId="5DF9560A" w14:textId="5E44EFDC" w:rsidR="0034472E" w:rsidRPr="0034472E" w:rsidRDefault="0034472E" w:rsidP="0034472E">
      <w:pPr>
        <w:pStyle w:val="Odstavecseseznamem"/>
        <w:numPr>
          <w:ilvl w:val="0"/>
          <w:numId w:val="8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34472E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cs-CZ"/>
        </w:rPr>
        <w:t>diagnostická rozvaha</w:t>
      </w:r>
      <w:r w:rsidRPr="0034472E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,</w:t>
      </w:r>
    </w:p>
    <w:p w14:paraId="4166A183" w14:textId="7720DC4B" w:rsidR="0034472E" w:rsidRPr="0034472E" w:rsidRDefault="0034472E" w:rsidP="0034472E">
      <w:pPr>
        <w:pStyle w:val="Odstavecseseznamem"/>
        <w:numPr>
          <w:ilvl w:val="0"/>
          <w:numId w:val="8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34472E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cs-CZ"/>
        </w:rPr>
        <w:t>závěr a poučení rodiče o výživě a režimu dítěte včetně úrazové prevence</w:t>
      </w:r>
      <w:r w:rsidRPr="0034472E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podle specifik pro daný věk,</w:t>
      </w:r>
    </w:p>
    <w:p w14:paraId="194EFD4D" w14:textId="76135AD8" w:rsidR="0034472E" w:rsidRPr="0034472E" w:rsidRDefault="0034472E" w:rsidP="0034472E">
      <w:pPr>
        <w:pStyle w:val="Odstavecseseznamem"/>
        <w:numPr>
          <w:ilvl w:val="0"/>
          <w:numId w:val="8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34472E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cs-CZ"/>
        </w:rPr>
        <w:t>psychoterapeutický rozhovor s rodičem</w:t>
      </w:r>
      <w:r w:rsidRPr="0034472E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, jde-li o dítě s poruchami zdravotního stavu nebo o dítě ohrožené poruchami zdravotního stavu včetně poruch zdravotního stavu v důsledku vlivu nepříznivého rodinného nebo jiného společenského prostředí</w:t>
      </w:r>
    </w:p>
    <w:p w14:paraId="1823F252" w14:textId="48A0BF7D" w:rsidR="000621FD" w:rsidRPr="00C169BA" w:rsidRDefault="000621FD" w:rsidP="00C169BA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C169BA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Dále je obsahem všeobecné preventivní prohlídky novorozence, která se jako první provádí zpravidla do 2 dnů po propuštění ze zdravotnického zařízení, ve kterém byly poskytnuty zdravotní služby v souvislosti s porodem, a to, pokud je to možné v jeho vlastním sociálním prostředí:</w:t>
      </w:r>
    </w:p>
    <w:p w14:paraId="3767AD2C" w14:textId="2BBB75F1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posouzení sociálního prostředí dítěte, rodinná anamnéza, osobní a těhotenská anamnéza matky, prenatální, perinatální a postnatální anamnéza a zhodnocení lékařské zprávy o novorozenci,</w:t>
      </w:r>
    </w:p>
    <w:p w14:paraId="7383E26A" w14:textId="692DD7B2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vyšetření spočívající v posouzení celkového stavu dítěte, vyšetření kůže a podkožní vrstvy, vlasů a nehtů, vyšetření mízních uzlin, svalstva a kostry, hlavy včetně tvaru, velikosti fontanel a změření obvodu hlavy, vyšetření očí a jejich okolí včetně postavení bulbů a spojivek, uší, nosu, dutiny ústní, krku, hrudníku, jeho obvodu a tvaru a stavu klíčních kostí, fyzikální nález na srdci a plicích, vyšetření břicha včetně jeho velikosti, palpačního vyšetření nitrobřišních orgánů a pupeční jizvy, dále vyšetření třísel včetně palpačního vyšetření a pulzu na stehenních tepnách, vyšetření genitálu, končetin včetně jejich symetrie, deformity a hybnosti v kyčelních kloubech a vyšetření psychomotorického vývoje včetně novorozeneckých reflexů,</w:t>
      </w:r>
    </w:p>
    <w:p w14:paraId="6B4E12A9" w14:textId="41288557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ověření provedení screeningového vyšetření sluchu novorozence; pokud toto vyšetření nebylo provedeno, doporučení jeho provedení včetně podání informace o poskytovatelích zdravotních služeb, kteří toto vyšetření provádějí,</w:t>
      </w:r>
    </w:p>
    <w:p w14:paraId="762F53FC" w14:textId="4A902DED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lastRenderedPageBreak/>
        <w:t>kontrola preventivního podání vitaminu K a poučení o opakování preventivního podání v indikovaných případech,</w:t>
      </w:r>
    </w:p>
    <w:p w14:paraId="2B695730" w14:textId="183EB657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poučení o preventivním podávání vitaminu D,</w:t>
      </w:r>
    </w:p>
    <w:p w14:paraId="2EA9E6B3" w14:textId="38E5E7E5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kontrola dotazníku k definici rizika tuberkulózy, a doporučení dalšího postupu podle vyhlášky upravující očkování proti infekčním nemocem,</w:t>
      </w:r>
    </w:p>
    <w:p w14:paraId="067334ED" w14:textId="66FE102F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poučení o péči o novorozence a o kojení, případně o umělé mléčné výživě,</w:t>
      </w:r>
    </w:p>
    <w:p w14:paraId="0BE27C83" w14:textId="3BBFCCAB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dětí ve 14 dnech věku, kromě vyšetření uvedených v písmenu a) bodě 2, zjištění výživy dítěte, kontrola zahájení preventivního podávání vitaminu D proti křivici, potřebná poučení rodiče dítěte a doporučení odborného ortopedického vyšetření kyčlí mezi třetím až šestým týdnem věku,</w:t>
      </w:r>
    </w:p>
    <w:p w14:paraId="50921D6F" w14:textId="481B7DAF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dětí v 6 týdnech věku, kromě vyšetření uvedených v písmenu a) bodě 2, kontrola výsledku ortopedického vyšetření a kontrola preventivního podávání vitaminu D, orientační vyšetření zraku, kontrola zahájení očkování a plán dalšího očkování,</w:t>
      </w:r>
    </w:p>
    <w:p w14:paraId="1B1C24E1" w14:textId="22CDC410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dětí ve 3 měsících věku, kromě vyšetření uvedených v písmenu a) bodě 2, kontrola preventivního podávání vitaminu D, kontrola očkování a plán dalšího očkování,</w:t>
      </w:r>
    </w:p>
    <w:p w14:paraId="4D32139D" w14:textId="4AE75B60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dětí ve 4 až 5 měsících věku, kromě vyšetření uvedených v písmenu a) bodě 2, orientační vyšetření zraku a sluchu, kontrola očkování a plán dalšího očkování, vyšetření uložení varlat u chlapců a poučení o výživě dítěte,</w:t>
      </w:r>
    </w:p>
    <w:p w14:paraId="202DE057" w14:textId="28A9493E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dětí v 6 měsících věku, kromě vyšetření uvedených v písmenu a) bodě 2, kontrola preventivního podávání vitaminu D, kontrola vývoje chrupu a poučení rodiče o nutnosti registrace dítěte u zubního lékaře v druhém půlroce života dítěte a jeho zapojení do pravidelných zubních prohlídek,</w:t>
      </w:r>
    </w:p>
    <w:p w14:paraId="0B51D879" w14:textId="016BA16D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dětí v 8 měsících věku, kromě vyšetření uvedených v písmenu a) bodě 2, orientační vyšetření zraku a sluchu,</w:t>
      </w:r>
    </w:p>
    <w:p w14:paraId="0019B377" w14:textId="191C742B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dětí v 10 až 11 měsících věku, kromě vyšetření uvedených v písmenu a) bodě 2, kontrola preventivního podávání vitaminu D,</w:t>
      </w:r>
    </w:p>
    <w:p w14:paraId="19D4CCA2" w14:textId="73A1577B" w:rsidR="000621FD" w:rsidRPr="000621FD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dětí ve 12 měsících věku, kromě vyšetření uvedených v písmenu a) bodě 2, zjištění základních antropometrických ukazatelů a jejich zhodnocení, kontrola preventivního podávání vitaminu D, zjištění velikosti velké fontanely, vyšetření zraku a sluchu, vývoje řeči a chrupu a potřebná poučení rodiče dítěte, informace o hygieně dutiny ústní, individuální zvážení celkového příjmu fluoridů, doporučení stomatologického vyšetření, kontrola očkování a plán dalšího očkování dítěte,</w:t>
      </w:r>
    </w:p>
    <w:p w14:paraId="77E11072" w14:textId="49F18CD3" w:rsidR="0034472E" w:rsidRDefault="000621FD" w:rsidP="000621FD">
      <w:pPr>
        <w:pStyle w:val="Odstavecseseznamem"/>
        <w:numPr>
          <w:ilvl w:val="0"/>
          <w:numId w:val="10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0621F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dětí v 18 měsících věku, kromě vyšetření uvedených v písmenu a) bodě 2, kontrola stavu velké fontanely, vývoje a stavu chrupu včetně doporučení stomatologického vyšetření, vyšetření zraku a sluchu, posouzení psychomotorického vývoje se zaměřením na hrubou a jemnou motoriku, rozvoj řeči a sociální chování dítěte, provedení vyšetření za účelem včasného záchytu poruch autistického spektra, v případě nejednoznačného výsledku vyšetření doporučení kontrolního vyšetření za účelem včasného záchytu poruch autistického spektra, a to po 6 měsících ode dne prvního vyšetření, kontrola očkování a plán dalšího očkování dítěte.</w:t>
      </w:r>
    </w:p>
    <w:p w14:paraId="1CEDDC74" w14:textId="3D1CC59B" w:rsidR="00C00BE1" w:rsidRPr="002E781C" w:rsidRDefault="00C00BE1" w:rsidP="0034472E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</w:p>
    <w:p w14:paraId="62E98FB6" w14:textId="4EE8527E" w:rsidR="005525C5" w:rsidRPr="005F37C3" w:rsidRDefault="005525C5" w:rsidP="005525C5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525C5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 xml:space="preserve">B) </w:t>
      </w:r>
      <w:r w:rsidRPr="00722BED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>Všeobecnou preventivní prohlídku u Vašeho registrujícího praktického lékaře</w:t>
      </w:r>
      <w:r w:rsidRPr="002E781C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cs-CZ"/>
        </w:rPr>
        <w:t xml:space="preserve"> </w:t>
      </w:r>
      <w:r w:rsidRPr="005F37C3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– u dospělých vždy 1x za 2 roky (u dětí do 3 let je frekvence prohlídek u praktického lékaře pro děti a dorost častější, od 3 let věku pak ve stejném režimu jako u dospělých, tj. 1x za 2 roky)</w:t>
      </w:r>
    </w:p>
    <w:p w14:paraId="353B20D2" w14:textId="77777777" w:rsidR="005525C5" w:rsidRPr="005F37C3" w:rsidRDefault="005525C5" w:rsidP="005525C5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Obsah všeobecné preventivní prohlídky: </w:t>
      </w:r>
    </w:p>
    <w:p w14:paraId="3866DAC0" w14:textId="77777777" w:rsidR="005525C5" w:rsidRPr="005F37C3" w:rsidRDefault="005525C5" w:rsidP="005525C5">
      <w:pPr>
        <w:pStyle w:val="Odstavecseseznamem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Doplnění pacientovy anamnézy</w:t>
      </w:r>
      <w:r w:rsidRPr="005F37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V rodinné anamnéze je zvláštní důraz kladen na výskyt kardiovaskulárních, plicních a nádorových onemocnění, výskyt hypertenze, diabetu a poruch metabolizmu tuků a na výskyt závislostí.</w:t>
      </w:r>
    </w:p>
    <w:p w14:paraId="5CE2D602" w14:textId="77777777" w:rsidR="005525C5" w:rsidRPr="005F37C3" w:rsidRDefault="005525C5" w:rsidP="005525C5">
      <w:pPr>
        <w:pStyle w:val="Odstavecseseznamem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outlineLvl w:val="0"/>
        <w:rPr>
          <w:rStyle w:val="Siln"/>
          <w:rFonts w:ascii="Times New Roman" w:eastAsia="Times New Roman" w:hAnsi="Times New Roman" w:cs="Times New Roman"/>
          <w:b w:val="0"/>
          <w:bCs w:val="0"/>
          <w:color w:val="212121"/>
          <w:kern w:val="36"/>
          <w:sz w:val="24"/>
          <w:szCs w:val="24"/>
          <w:lang w:eastAsia="cs-CZ"/>
        </w:rPr>
      </w:pPr>
      <w:r w:rsidRPr="005F37C3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Kontrola očkování.</w:t>
      </w:r>
    </w:p>
    <w:p w14:paraId="0538F7E7" w14:textId="77777777" w:rsidR="005525C5" w:rsidRPr="005F37C3" w:rsidRDefault="005525C5" w:rsidP="005525C5">
      <w:pPr>
        <w:pStyle w:val="Odstavecseseznamem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Kompletní fyzikální vyšetření. </w:t>
      </w:r>
      <w:r w:rsidRPr="005F37C3">
        <w:rPr>
          <w:rStyle w:val="Siln"/>
          <w:rFonts w:ascii="Times New Roman" w:hAnsi="Times New Roman" w:cs="Times New Roman"/>
          <w:b w:val="0"/>
          <w:bCs w:val="0"/>
          <w:color w:val="212121"/>
          <w:sz w:val="24"/>
          <w:szCs w:val="24"/>
          <w:shd w:val="clear" w:color="auto" w:fill="FFFFFF"/>
        </w:rPr>
        <w:t xml:space="preserve"> Obsahuje změření krevního tlaku, zjištění indexu tělesné hmotnosti (BMI), orientační vyšetření zraku a sluchu. </w:t>
      </w:r>
      <w:r w:rsidRPr="005F37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Součástí prohlídky je v rámci onkologické </w:t>
      </w:r>
      <w:r w:rsidRPr="005F37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prevence </w:t>
      </w:r>
      <w:r w:rsidRPr="005F37C3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zhodnocení rizik</w:t>
      </w:r>
      <w:r w:rsidRPr="005F37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z hlediska rodinné, osobní a pracovní anamnézy. Dále se provádí vyšetření kůže a u zjištěného podezření na riziko také vyšetření per rectum (konečníkem). U mužů se při pozitivní rodinné anamnéze provádí klinické vyšetření varlat. Ženám od 25 let, které mají v rodině výskyt zhoubného nádoru prsu nebo mají jiné rizikové faktory, má lékař provést klinické vyšetření prsů a poučit je o samovyšetřování.</w:t>
      </w:r>
    </w:p>
    <w:p w14:paraId="758AFEFB" w14:textId="77777777" w:rsidR="005525C5" w:rsidRPr="005F37C3" w:rsidRDefault="005525C5" w:rsidP="005525C5">
      <w:pPr>
        <w:pStyle w:val="Odstavecseseznamem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Vyšetření moči diagnostickým papírkem.</w:t>
      </w:r>
    </w:p>
    <w:p w14:paraId="7064C783" w14:textId="77777777" w:rsidR="005525C5" w:rsidRPr="005F37C3" w:rsidRDefault="005525C5" w:rsidP="005525C5">
      <w:pPr>
        <w:pStyle w:val="Odstavecseseznamem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Style w:val="Sil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Kontrola a zhodnocení výsledků dalších předepsaných preventivních vyšetření</w:t>
      </w:r>
      <w:r w:rsidRPr="005F37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(případně jejich zajištění, pokud nebyly v předepsaných termínech provedeny). </w:t>
      </w:r>
    </w:p>
    <w:p w14:paraId="6546CED2" w14:textId="77777777" w:rsidR="005525C5" w:rsidRPr="005F37C3" w:rsidRDefault="005525C5" w:rsidP="005525C5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F37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Preventivními vyšetřeními jsou:</w:t>
      </w:r>
    </w:p>
    <w:p w14:paraId="68792D39" w14:textId="77777777" w:rsidR="005525C5" w:rsidRPr="005F37C3" w:rsidRDefault="005525C5" w:rsidP="005525C5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laboratorní vyšetření koncentrace cholesterolu a triacylglycerolů v krvi (nárok máte při první preventivní prohlídce po ukončení péče u praktického lékaře pro děti a dorost, dále pak ve věku 30, 40, 50 a 60 let),</w:t>
      </w:r>
    </w:p>
    <w:p w14:paraId="0BC8C2DF" w14:textId="77777777" w:rsidR="005525C5" w:rsidRPr="005F37C3" w:rsidRDefault="005525C5" w:rsidP="005525C5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laboratorní vyšetření glykémie (nárok máte při první preventivní prohlídce po ukončení péče </w:t>
      </w:r>
      <w:r w:rsidRPr="005F37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br/>
        <w:t>u praktického lékaře pro děti a dorost, dále pak ve věku 30 let a od 40 let věku 1x za 2 roky),</w:t>
      </w:r>
    </w:p>
    <w:p w14:paraId="2FE88C5A" w14:textId="77777777" w:rsidR="005525C5" w:rsidRPr="005F37C3" w:rsidRDefault="005525C5" w:rsidP="005525C5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vyšetření EKG ve 40 letech věku, dále pak ve čtyřletých intervalech,</w:t>
      </w:r>
    </w:p>
    <w:p w14:paraId="075D1A09" w14:textId="77777777" w:rsidR="005525C5" w:rsidRPr="005F37C3" w:rsidRDefault="005525C5" w:rsidP="005525C5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stanovení okultního krvácení ve stolici speciálním testem u osob od 50 let; toto vyšetření je možné nahradit doporučením k provedení screeningové kolonoskopie 1x za 10 let). Tatáž vyšetření ale může ženám provést, resp. dát jim na ně doporučení i gynekolog, a proto je praktický lékař nezajišťuje, pokud má k dispozici výsledky,</w:t>
      </w:r>
    </w:p>
    <w:p w14:paraId="19BC8DBC" w14:textId="77777777" w:rsidR="005525C5" w:rsidRPr="005F37C3" w:rsidRDefault="005525C5" w:rsidP="005525C5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 žen od 45 let věku lékař ověří, zda je k dispozici výsledek screeningového mamografického vyšetření z posledních 2 let, není-li, lékař doporučí provedení tohoto vyšetření,</w:t>
      </w:r>
    </w:p>
    <w:p w14:paraId="71961D31" w14:textId="77777777" w:rsidR="005525C5" w:rsidRPr="005F37C3" w:rsidRDefault="005525C5" w:rsidP="005525C5">
      <w:pPr>
        <w:pStyle w:val="Odstavecseseznamem"/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u pacientů (od 50 let věku) trpících srdečně-cévními onemocněními laboratorní vyšetření sérového kreatininu a odhad glomerulární filtrace, 1x za 4 roky.</w:t>
      </w:r>
    </w:p>
    <w:p w14:paraId="2B868E7F" w14:textId="1E982B4E" w:rsidR="00281936" w:rsidRPr="005F37C3" w:rsidRDefault="005525C5" w:rsidP="002E781C">
      <w:pPr>
        <w:pStyle w:val="Odstavecseseznamem"/>
        <w:numPr>
          <w:ilvl w:val="0"/>
          <w:numId w:val="4"/>
        </w:numPr>
        <w:shd w:val="clear" w:color="auto" w:fill="FFFFFF"/>
        <w:spacing w:after="0" w:line="276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5F37C3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U pacientů ve věku 45–61 let doporučení k preventivnímu očnímu vyšetření u očního lékaře, 1x za 4 roky.</w:t>
      </w:r>
    </w:p>
    <w:p w14:paraId="4EC20F66" w14:textId="77777777" w:rsidR="005F37C3" w:rsidRPr="005F37C3" w:rsidRDefault="005F37C3" w:rsidP="005F37C3">
      <w:pPr>
        <w:pStyle w:val="Odstavecseseznamem"/>
        <w:shd w:val="clear" w:color="auto" w:fill="FFFFFF"/>
        <w:spacing w:after="0" w:line="276" w:lineRule="auto"/>
        <w:ind w:left="567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lang w:eastAsia="cs-CZ"/>
        </w:rPr>
      </w:pPr>
    </w:p>
    <w:p w14:paraId="74BEC640" w14:textId="77777777" w:rsidR="0034472E" w:rsidRPr="002E781C" w:rsidRDefault="00281936" w:rsidP="0034472E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722BED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 xml:space="preserve">C) </w:t>
      </w:r>
      <w:r w:rsidR="0034472E" w:rsidRPr="00722BED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>Zubní preventivní prohlídku u Vašeho registrujícího zubního lékaře</w:t>
      </w:r>
      <w:r w:rsidR="0034472E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</w:t>
      </w:r>
      <w:r w:rsidR="0034472E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br/>
      </w:r>
      <w:r w:rsidR="0034472E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– u dospělých od 19 let věku 1x ročně, u těhotných žen 2x v průběhu těhotenství a u dětí 1x ročně v prvním roce života (mezi 6. až 12. měsícem) a 2x ročně u dětí a dorostu ve věku 1 až 18 let.</w:t>
      </w:r>
    </w:p>
    <w:p w14:paraId="55C86E86" w14:textId="77777777" w:rsidR="0034472E" w:rsidRPr="002E781C" w:rsidRDefault="0034472E" w:rsidP="0034472E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Obsah zubní preventivní prohlídky u dospělých: </w:t>
      </w:r>
    </w:p>
    <w:p w14:paraId="0544EC77" w14:textId="77777777" w:rsidR="0034472E" w:rsidRPr="002E781C" w:rsidRDefault="0034472E" w:rsidP="0034472E">
      <w:pPr>
        <w:pStyle w:val="Odstavecseseznamem"/>
        <w:numPr>
          <w:ilvl w:val="0"/>
          <w:numId w:val="6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vyšetření stavu chrupu, parodontu, sliznice a měkkých tkání dutiny ústní, </w:t>
      </w:r>
    </w:p>
    <w:p w14:paraId="40304648" w14:textId="77777777" w:rsidR="0034472E" w:rsidRPr="002E781C" w:rsidRDefault="0034472E" w:rsidP="0034472E">
      <w:pPr>
        <w:pStyle w:val="Odstavecseseznamem"/>
        <w:numPr>
          <w:ilvl w:val="0"/>
          <w:numId w:val="6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prevence onkologická zaměřená na pátrání po přednádorových změnách i nádorových projevech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br/>
      </w:r>
      <w:r w:rsidRPr="002E7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 chrupu, parodontu, čelistech a měkkých tkáních obličeje a krku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</w:p>
    <w:p w14:paraId="2796BE0D" w14:textId="368F26F7" w:rsidR="0034472E" w:rsidRPr="005F37C3" w:rsidRDefault="0034472E" w:rsidP="002E781C">
      <w:pPr>
        <w:pStyle w:val="Odstavecseseznamem"/>
        <w:numPr>
          <w:ilvl w:val="0"/>
          <w:numId w:val="6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</w:t>
      </w:r>
      <w:r w:rsidRPr="002E78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oučení správné hygieně dutiny ústní.</w:t>
      </w:r>
    </w:p>
    <w:p w14:paraId="4C8A32BA" w14:textId="77777777" w:rsidR="00DB707C" w:rsidRPr="00DB707C" w:rsidRDefault="00DB707C" w:rsidP="00DB707C">
      <w:pPr>
        <w:shd w:val="clear" w:color="auto" w:fill="FFFFFF"/>
        <w:spacing w:after="0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</w:p>
    <w:p w14:paraId="0C822E8C" w14:textId="60B8C0B3" w:rsidR="00281936" w:rsidRPr="002E781C" w:rsidRDefault="0034472E" w:rsidP="002E781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 xml:space="preserve">D) </w:t>
      </w:r>
      <w:r w:rsidR="00281936" w:rsidRPr="00722BED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>Gynekologick</w:t>
      </w:r>
      <w:r w:rsidR="006D6AF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>ou</w:t>
      </w:r>
      <w:r w:rsidR="00281936" w:rsidRPr="00722BED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 xml:space="preserve"> preventivní prohlídk</w:t>
      </w:r>
      <w:r w:rsidR="006D6AF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>u</w:t>
      </w:r>
      <w:r w:rsidR="00281936" w:rsidRPr="00722BED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cs-CZ"/>
        </w:rPr>
        <w:t xml:space="preserve"> u Vašeho registrujícího gynekologa</w:t>
      </w:r>
      <w:r w:rsidR="00281936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</w:t>
      </w:r>
      <w:r w:rsidR="00BA6BBC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–</w:t>
      </w:r>
      <w:r w:rsidR="00281936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</w:t>
      </w:r>
      <w:r w:rsidR="00BA6BBC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od 15 let věku</w:t>
      </w:r>
      <w:r w:rsidR="008050BF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</w:t>
      </w:r>
      <w:r w:rsidR="00BA6BBC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1x za rok</w:t>
      </w:r>
    </w:p>
    <w:p w14:paraId="292B76D9" w14:textId="0F7FC92B" w:rsidR="00BA6BBC" w:rsidRPr="002E781C" w:rsidRDefault="00BA6BBC" w:rsidP="002E781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Obsah gynekologické preventivní prohlídky</w:t>
      </w:r>
      <w:r w:rsidR="009B7696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(vždy s ohledem na věk ženy)</w:t>
      </w: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: </w:t>
      </w:r>
    </w:p>
    <w:p w14:paraId="67E845F6" w14:textId="77777777" w:rsidR="00BA6BBC" w:rsidRPr="002E781C" w:rsidRDefault="00BA6BBC" w:rsidP="00895B30">
      <w:pPr>
        <w:shd w:val="clear" w:color="auto" w:fill="FFFFFF"/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a) založení zdravotnické dokumentace při přijetí do péče,</w:t>
      </w:r>
    </w:p>
    <w:p w14:paraId="6941438D" w14:textId="4A26FE8F" w:rsidR="00BA6BBC" w:rsidRPr="002E781C" w:rsidRDefault="00BA6BBC" w:rsidP="00895B30">
      <w:pPr>
        <w:shd w:val="clear" w:color="auto" w:fill="FFFFFF"/>
        <w:spacing w:after="0" w:line="276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b) rodinná, osobní a pracovní anamnéza a aktualizace této anamnézy se zřetelem na známé rizikové </w:t>
      </w:r>
      <w:r w:rsidR="00895B30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 </w:t>
      </w: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faktory,</w:t>
      </w:r>
    </w:p>
    <w:p w14:paraId="56576831" w14:textId="2812132C" w:rsidR="00BA6BBC" w:rsidRPr="002E781C" w:rsidRDefault="00895B30" w:rsidP="00895B30">
      <w:pPr>
        <w:shd w:val="clear" w:color="auto" w:fill="FFFFFF"/>
        <w:spacing w:after="0" w:line="276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c</w:t>
      </w:r>
      <w:r w:rsidR="00BA6BBC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) klinické vyšetření prsů od 25 let věku při pozitivní rodinné anamnéze na dědičný nebo familiární výskyt </w:t>
      </w:r>
      <w:r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 </w:t>
      </w:r>
      <w:r w:rsidR="00BA6BBC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zhoubného nádoru prsu nebo při přítomnosti jiných rizikových faktorů,</w:t>
      </w:r>
    </w:p>
    <w:p w14:paraId="5D771FBD" w14:textId="2C197144" w:rsidR="00BA6BBC" w:rsidRPr="002E781C" w:rsidRDefault="00BA6BBC" w:rsidP="00895B30">
      <w:pPr>
        <w:shd w:val="clear" w:color="auto" w:fill="FFFFFF"/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d) prohlídka kůže a palpační vyšetření mízních uzlin v oblasti pohlavních orgánů,</w:t>
      </w:r>
    </w:p>
    <w:p w14:paraId="0AD9553F" w14:textId="401FFEF9" w:rsidR="00BA6BBC" w:rsidRPr="002E781C" w:rsidRDefault="00BA6BBC" w:rsidP="00895B30">
      <w:pPr>
        <w:shd w:val="clear" w:color="auto" w:fill="FFFFFF"/>
        <w:spacing w:after="0" w:line="276" w:lineRule="auto"/>
        <w:ind w:left="284" w:firstLine="142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e) vyšetření v zrcadlech a kolposkopické vyšetření;</w:t>
      </w:r>
    </w:p>
    <w:p w14:paraId="271A25F3" w14:textId="6EC8698A" w:rsidR="009B7696" w:rsidRPr="002E781C" w:rsidRDefault="00BA6BBC" w:rsidP="00895B30">
      <w:pPr>
        <w:shd w:val="clear" w:color="auto" w:fill="FFFFFF"/>
        <w:spacing w:after="0" w:line="276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f) odběr materiálu z děložního čípku k cytologickému, případně bakteriologickému nebo virologickému vyšetření</w:t>
      </w:r>
      <w:r w:rsidR="009B7696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,</w:t>
      </w:r>
    </w:p>
    <w:p w14:paraId="7C960000" w14:textId="6C016FF9" w:rsidR="00BA6BBC" w:rsidRPr="002E781C" w:rsidRDefault="00BA6BBC" w:rsidP="00895B30">
      <w:pPr>
        <w:shd w:val="clear" w:color="auto" w:fill="FFFFFF"/>
        <w:spacing w:after="0" w:line="276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lastRenderedPageBreak/>
        <w:t>g) palpační bimanuální vyšetření; při nejasném výsledku doplnění vyšetření vaginální ultrazvukovou sondou,</w:t>
      </w:r>
    </w:p>
    <w:p w14:paraId="69240435" w14:textId="3BB39F75" w:rsidR="00BA6BBC" w:rsidRPr="002E781C" w:rsidRDefault="00BA6BBC" w:rsidP="00895B30">
      <w:pPr>
        <w:shd w:val="clear" w:color="auto" w:fill="FFFFFF"/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h) poučení o významu preventivní protirakovinné prohlídky,</w:t>
      </w:r>
    </w:p>
    <w:p w14:paraId="2DF76876" w14:textId="1631D8B5" w:rsidR="00BA6BBC" w:rsidRPr="002E781C" w:rsidRDefault="00BA6BBC" w:rsidP="00895B30">
      <w:pPr>
        <w:shd w:val="clear" w:color="auto" w:fill="FFFFFF"/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i) nácvik samovyšetřování prsů při první prohlídce u registrujícího poskytovatele,</w:t>
      </w:r>
    </w:p>
    <w:p w14:paraId="52EE3324" w14:textId="06631B1D" w:rsidR="00BA6BBC" w:rsidRPr="002E781C" w:rsidRDefault="00BA6BBC" w:rsidP="00895B30">
      <w:pPr>
        <w:shd w:val="clear" w:color="auto" w:fill="FFFFFF"/>
        <w:spacing w:after="0" w:line="276" w:lineRule="auto"/>
        <w:ind w:left="709" w:hanging="283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j) u žen od 45 let věku doporučení k provedení screeningového mamografického vyšetření a nezbytných</w:t>
      </w:r>
      <w:r w:rsidR="00895B30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</w:t>
      </w: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doplňujících vyšetření ve dvouletých intervalech; </w:t>
      </w:r>
    </w:p>
    <w:p w14:paraId="5D3997D3" w14:textId="7DE65337" w:rsidR="00BA6BBC" w:rsidRDefault="00BA6BBC" w:rsidP="00895B30">
      <w:pPr>
        <w:shd w:val="clear" w:color="auto" w:fill="FFFFFF"/>
        <w:spacing w:after="0" w:line="276" w:lineRule="auto"/>
        <w:ind w:left="709" w:hanging="425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</w:t>
      </w:r>
      <w:r w:rsidR="00895B30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</w:t>
      </w: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k) stanovení okultního krvácení ve stolici speciálním testem u žen od 50 let do 54 let věku, od 55 let věku se toto vyšetření provádí ve dvouletých intervalech; toto vyšetření je možné nahradit doporučením </w:t>
      </w:r>
      <w:r w:rsidR="00C144F4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br/>
      </w: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k provedení screeningové kolonoskopie jednou za 10 let; jestliže žena absolvovala vyšetření </w:t>
      </w:r>
      <w:r w:rsidR="009B7696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na základě doporučení praktického lékaře, pak</w:t>
      </w: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 </w:t>
      </w:r>
      <w:r w:rsidR="009B7696"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 xml:space="preserve">se </w:t>
      </w:r>
      <w:r w:rsidRPr="002E781C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  <w:t>vyšetření nezajišťuje.</w:t>
      </w:r>
    </w:p>
    <w:p w14:paraId="1DC40E3F" w14:textId="05633B6A" w:rsidR="00B66610" w:rsidRDefault="00B66610" w:rsidP="00B66610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-9"/>
        <w:tblW w:w="10617" w:type="dxa"/>
        <w:tblLook w:val="04A0" w:firstRow="1" w:lastRow="0" w:firstColumn="1" w:lastColumn="0" w:noHBand="0" w:noVBand="1"/>
      </w:tblPr>
      <w:tblGrid>
        <w:gridCol w:w="1838"/>
        <w:gridCol w:w="992"/>
        <w:gridCol w:w="567"/>
        <w:gridCol w:w="709"/>
        <w:gridCol w:w="709"/>
        <w:gridCol w:w="982"/>
        <w:gridCol w:w="992"/>
        <w:gridCol w:w="993"/>
        <w:gridCol w:w="992"/>
        <w:gridCol w:w="850"/>
        <w:gridCol w:w="993"/>
      </w:tblGrid>
      <w:tr w:rsidR="006E4913" w14:paraId="4A11D8DD" w14:textId="77777777" w:rsidTr="00A71201">
        <w:trPr>
          <w:cantSplit/>
          <w:trHeight w:val="851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5" w:themeFillTint="99"/>
          </w:tcPr>
          <w:p w14:paraId="278DF46F" w14:textId="77777777" w:rsidR="006E4913" w:rsidRPr="008A1F40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bookmarkStart w:id="0" w:name="_Hlk124845516"/>
            <w:r>
              <w:rPr>
                <w:rFonts w:ascii="Times New Roman" w:eastAsia="Times New Roman" w:hAnsi="Times New Roman" w:cs="Times New Roman"/>
                <w:noProof/>
                <w:color w:val="212121"/>
                <w:kern w:val="36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43DDED5" wp14:editId="349A7350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65405</wp:posOffset>
                  </wp:positionV>
                  <wp:extent cx="419100" cy="419100"/>
                  <wp:effectExtent l="0" t="0" r="0" b="0"/>
                  <wp:wrapNone/>
                  <wp:docPr id="7" name="Grafický objekt 7" descr="Stetoskop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cký objekt 7" descr="Stetoskop se souvislou výplní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7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BE6FB61" w14:textId="08137286" w:rsidR="006E4913" w:rsidRPr="008A1F40" w:rsidRDefault="0076422C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kern w:val="36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2446870D" wp14:editId="749088AA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-191135</wp:posOffset>
                  </wp:positionV>
                  <wp:extent cx="914400" cy="914400"/>
                  <wp:effectExtent l="0" t="0" r="0" b="0"/>
                  <wp:wrapNone/>
                  <wp:docPr id="2" name="Grafický objekt 2" descr="Skupina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cký objekt 2" descr="Skupina se souvislou výplní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212121"/>
                <w:kern w:val="36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A4291BF" wp14:editId="21DBCC8C">
                  <wp:simplePos x="0" y="0"/>
                  <wp:positionH relativeFrom="column">
                    <wp:posOffset>2427605</wp:posOffset>
                  </wp:positionH>
                  <wp:positionV relativeFrom="paragraph">
                    <wp:posOffset>-188595</wp:posOffset>
                  </wp:positionV>
                  <wp:extent cx="914400" cy="914400"/>
                  <wp:effectExtent l="0" t="0" r="0" b="0"/>
                  <wp:wrapNone/>
                  <wp:docPr id="4" name="Grafický objekt 4" descr="Skupina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cký objekt 4" descr="Skupina se souvislou výplní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4913">
              <w:rPr>
                <w:rFonts w:ascii="Times New Roman" w:eastAsia="Times New Roman" w:hAnsi="Times New Roman" w:cs="Times New Roman"/>
                <w:noProof/>
                <w:color w:val="212121"/>
                <w:kern w:val="36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44EE997" wp14:editId="33C12D9D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69850</wp:posOffset>
                  </wp:positionV>
                  <wp:extent cx="476250" cy="476250"/>
                  <wp:effectExtent l="0" t="0" r="0" b="0"/>
                  <wp:wrapNone/>
                  <wp:docPr id="3" name="Grafický objekt 3" descr="Dítě s balónkem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cký objekt 3" descr="Dítě s balónkem se souvislou výplní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465C6E" w14:textId="77777777" w:rsidR="006E4913" w:rsidRPr="008A1F40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kern w:val="36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104E34B3" wp14:editId="234864D0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122555</wp:posOffset>
                  </wp:positionV>
                  <wp:extent cx="295275" cy="295275"/>
                  <wp:effectExtent l="0" t="0" r="9525" b="0"/>
                  <wp:wrapNone/>
                  <wp:docPr id="8" name="Grafický objekt 8" descr="Plazící se dítě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cký objekt 8" descr="Plazící se dítě se souvislou výplní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54B789" w14:textId="77777777" w:rsidR="006E4913" w:rsidRPr="008A1F40" w:rsidRDefault="006E4913" w:rsidP="00A71201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</w:p>
        </w:tc>
      </w:tr>
      <w:tr w:rsidR="006E4913" w14:paraId="6B8DF3F9" w14:textId="77777777" w:rsidTr="00A71201">
        <w:trPr>
          <w:trHeight w:val="26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5" w:themeFillTint="99"/>
          </w:tcPr>
          <w:p w14:paraId="29B964D0" w14:textId="77777777" w:rsidR="006E4913" w:rsidRPr="005C1C34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 w:rsidRPr="005C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Typ prohlídky/ věk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5" w:themeFillTint="99"/>
            <w:vAlign w:val="center"/>
          </w:tcPr>
          <w:p w14:paraId="485D40D3" w14:textId="77777777" w:rsidR="006E4913" w:rsidRPr="005C1C34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 w:rsidRPr="005C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5" w:themeFillTint="99"/>
            <w:vAlign w:val="center"/>
          </w:tcPr>
          <w:p w14:paraId="3C8CC082" w14:textId="77777777" w:rsidR="006E4913" w:rsidRPr="005C1C34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 w:rsidRPr="005C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1-3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5" w:themeFillTint="99"/>
            <w:vAlign w:val="center"/>
          </w:tcPr>
          <w:p w14:paraId="7EC21D9B" w14:textId="77777777" w:rsidR="006E4913" w:rsidRPr="005C1C34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 w:rsidRPr="005C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3-15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5" w:themeFillTint="99"/>
            <w:vAlign w:val="center"/>
          </w:tcPr>
          <w:p w14:paraId="77F6B01A" w14:textId="77777777" w:rsidR="006E4913" w:rsidRPr="005C1C34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 w:rsidRPr="005C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15-18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5" w:themeFillTint="99"/>
            <w:vAlign w:val="center"/>
          </w:tcPr>
          <w:p w14:paraId="4DCECBC2" w14:textId="0B4D12FB" w:rsidR="006E4913" w:rsidRPr="005C1C34" w:rsidRDefault="0076422C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o</w:t>
            </w:r>
            <w:r w:rsidR="006E4913" w:rsidRPr="005C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 xml:space="preserve">d 19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5" w:themeFillTint="99"/>
            <w:vAlign w:val="center"/>
          </w:tcPr>
          <w:p w14:paraId="116BA420" w14:textId="31EDBBA2" w:rsidR="006E4913" w:rsidRPr="005C1C34" w:rsidRDefault="0076422C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o</w:t>
            </w:r>
            <w:r w:rsidR="006E4913" w:rsidRPr="005C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d 30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5" w:themeFillTint="99"/>
            <w:vAlign w:val="center"/>
          </w:tcPr>
          <w:p w14:paraId="69842083" w14:textId="3282F45C" w:rsidR="006E4913" w:rsidRPr="005C1C34" w:rsidRDefault="0076422C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o</w:t>
            </w:r>
            <w:r w:rsidR="006E4913" w:rsidRPr="005C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 xml:space="preserve">d 40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5" w:themeFillTint="99"/>
            <w:vAlign w:val="center"/>
          </w:tcPr>
          <w:p w14:paraId="0CE026F9" w14:textId="4742912C" w:rsidR="006E4913" w:rsidRPr="005C1C34" w:rsidRDefault="0076422C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o</w:t>
            </w:r>
            <w:r w:rsidR="006E4913" w:rsidRPr="005C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d 50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5" w:themeFillTint="99"/>
            <w:vAlign w:val="center"/>
          </w:tcPr>
          <w:p w14:paraId="0E43C8B8" w14:textId="2B2F4330" w:rsidR="006E4913" w:rsidRPr="005C1C34" w:rsidRDefault="0076422C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o</w:t>
            </w:r>
            <w:r w:rsidR="006E4913" w:rsidRPr="005C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d 55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977FF67" w14:textId="2603AF1F" w:rsidR="006E4913" w:rsidRPr="005C1C34" w:rsidRDefault="0076422C" w:rsidP="0076422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o</w:t>
            </w:r>
            <w:r w:rsidR="006E4913" w:rsidRPr="005C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kern w:val="36"/>
                <w:sz w:val="20"/>
                <w:szCs w:val="20"/>
                <w:lang w:eastAsia="cs-CZ"/>
              </w:rPr>
              <w:t>d 60</w:t>
            </w:r>
          </w:p>
        </w:tc>
      </w:tr>
      <w:tr w:rsidR="006E4913" w14:paraId="248D61C0" w14:textId="77777777" w:rsidTr="00A71201">
        <w:trPr>
          <w:trHeight w:val="27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</w:tcPr>
          <w:p w14:paraId="3FD58454" w14:textId="77777777" w:rsidR="006E4913" w:rsidRPr="005C1C34" w:rsidRDefault="006E4913" w:rsidP="00A71201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5C1C34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Všeobecná preventivní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D426181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9 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6A38DA4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7220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B7DCF79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1 x za 2 roky</w:t>
            </w:r>
          </w:p>
        </w:tc>
      </w:tr>
      <w:tr w:rsidR="006E4913" w14:paraId="5358A79D" w14:textId="77777777" w:rsidTr="00A71201">
        <w:trPr>
          <w:trHeight w:val="263"/>
        </w:trPr>
        <w:tc>
          <w:tcPr>
            <w:tcW w:w="1838" w:type="dxa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5EEBC1EA" w14:textId="77777777" w:rsidR="006E4913" w:rsidRPr="005C1C34" w:rsidRDefault="006E4913" w:rsidP="00A71201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5C1C34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Zubní preventivní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57B0C92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1 x ročně</w:t>
            </w:r>
          </w:p>
        </w:tc>
        <w:tc>
          <w:tcPr>
            <w:tcW w:w="1985" w:type="dxa"/>
            <w:gridSpan w:val="3"/>
            <w:shd w:val="clear" w:color="auto" w:fill="DEEAF6" w:themeFill="accent5" w:themeFillTint="33"/>
            <w:vAlign w:val="center"/>
          </w:tcPr>
          <w:p w14:paraId="2C9DF95C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2 x ročně</w:t>
            </w:r>
          </w:p>
        </w:tc>
        <w:tc>
          <w:tcPr>
            <w:tcW w:w="5802" w:type="dxa"/>
            <w:gridSpan w:val="6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373FA5D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1 x ročně (těhotné ženy – 2 x v průběhu těhotenství)</w:t>
            </w:r>
          </w:p>
        </w:tc>
      </w:tr>
      <w:tr w:rsidR="006E4913" w14:paraId="3ACF575D" w14:textId="77777777" w:rsidTr="00A71201">
        <w:trPr>
          <w:trHeight w:val="544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0B23061C" w14:textId="77777777" w:rsidR="006E4913" w:rsidRPr="005C1C34" w:rsidRDefault="006E4913" w:rsidP="00A71201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5C1C34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Gynekologická preventivní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AE0C01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6511" w:type="dxa"/>
            <w:gridSpan w:val="7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50F662C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1 x ročně</w:t>
            </w:r>
          </w:p>
        </w:tc>
      </w:tr>
      <w:tr w:rsidR="006E4913" w14:paraId="15045396" w14:textId="77777777" w:rsidTr="00A71201">
        <w:trPr>
          <w:trHeight w:val="260"/>
        </w:trPr>
        <w:tc>
          <w:tcPr>
            <w:tcW w:w="1061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3F575929" w14:textId="77777777" w:rsidR="006E4913" w:rsidRPr="007A4616" w:rsidRDefault="006E4913" w:rsidP="00A71201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</w:p>
        </w:tc>
      </w:tr>
      <w:tr w:rsidR="006E4913" w14:paraId="073C6619" w14:textId="77777777" w:rsidTr="00A71201">
        <w:trPr>
          <w:trHeight w:val="544"/>
        </w:trPr>
        <w:tc>
          <w:tcPr>
            <w:tcW w:w="1838" w:type="dxa"/>
            <w:tcBorders>
              <w:top w:val="single" w:sz="12" w:space="0" w:color="000000"/>
              <w:left w:val="single" w:sz="12" w:space="0" w:color="auto"/>
            </w:tcBorders>
            <w:shd w:val="clear" w:color="auto" w:fill="DEEAF6" w:themeFill="accent5" w:themeFillTint="33"/>
          </w:tcPr>
          <w:p w14:paraId="6207653A" w14:textId="1A32B7FB" w:rsidR="006E4913" w:rsidRPr="007A4616" w:rsidRDefault="0076422C" w:rsidP="00A71201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K</w:t>
            </w:r>
            <w:r w:rsidR="006E4913"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oncentrace cholesterolu a triacylglycerolů v krvi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14:paraId="50C343B4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single" w:sz="12" w:space="0" w:color="000000"/>
            </w:tcBorders>
            <w:shd w:val="clear" w:color="auto" w:fill="DEEAF6" w:themeFill="accent5" w:themeFillTint="33"/>
            <w:vAlign w:val="center"/>
          </w:tcPr>
          <w:p w14:paraId="6E091DDD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  <w:t>v 19 letech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DEEAF6" w:themeFill="accent5" w:themeFillTint="33"/>
            <w:vAlign w:val="center"/>
          </w:tcPr>
          <w:p w14:paraId="6ECBA071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  <w:t>ve 30 letech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DEEAF6" w:themeFill="accent5" w:themeFillTint="33"/>
            <w:vAlign w:val="center"/>
          </w:tcPr>
          <w:p w14:paraId="14D70451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  <w:t>ve 40 letech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DEEAF6" w:themeFill="accent5" w:themeFillTint="33"/>
            <w:vAlign w:val="center"/>
          </w:tcPr>
          <w:p w14:paraId="17CD553F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  <w:t>v 50 letech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14:paraId="3B4BFFBE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D9EFC27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  <w:t>v 60 letech</w:t>
            </w:r>
          </w:p>
        </w:tc>
      </w:tr>
      <w:tr w:rsidR="006E4913" w14:paraId="6B4ACEE3" w14:textId="77777777" w:rsidTr="00A71201">
        <w:trPr>
          <w:trHeight w:val="336"/>
        </w:trPr>
        <w:tc>
          <w:tcPr>
            <w:tcW w:w="1838" w:type="dxa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33257F5C" w14:textId="00342454" w:rsidR="006E4913" w:rsidRPr="007A4616" w:rsidRDefault="0076422C" w:rsidP="00A71201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G</w:t>
            </w:r>
            <w:r w:rsidR="006E4913"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lykémie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14:paraId="4093C1B1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F7A71E6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  <w:t>v 19 letech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7707327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  <w:t>ve 30 letech</w:t>
            </w:r>
          </w:p>
        </w:tc>
        <w:tc>
          <w:tcPr>
            <w:tcW w:w="3828" w:type="dxa"/>
            <w:gridSpan w:val="4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FE568A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1x za 2 roky</w:t>
            </w:r>
          </w:p>
        </w:tc>
      </w:tr>
      <w:tr w:rsidR="006E4913" w14:paraId="64B1A4C8" w14:textId="77777777" w:rsidTr="00A71201">
        <w:trPr>
          <w:trHeight w:val="284"/>
        </w:trPr>
        <w:tc>
          <w:tcPr>
            <w:tcW w:w="1838" w:type="dxa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2FEFC3BE" w14:textId="77777777" w:rsidR="006E4913" w:rsidRPr="007A4616" w:rsidRDefault="006E4913" w:rsidP="00A71201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4951" w:type="dxa"/>
            <w:gridSpan w:val="6"/>
            <w:shd w:val="clear" w:color="auto" w:fill="FFFFFF" w:themeFill="background1"/>
            <w:vAlign w:val="center"/>
          </w:tcPr>
          <w:p w14:paraId="1C350B72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gridSpan w:val="4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A04C977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1 x za 4 roky</w:t>
            </w:r>
          </w:p>
        </w:tc>
      </w:tr>
      <w:tr w:rsidR="006E4913" w14:paraId="5ADB90C1" w14:textId="77777777" w:rsidTr="00A71201">
        <w:trPr>
          <w:trHeight w:val="544"/>
        </w:trPr>
        <w:tc>
          <w:tcPr>
            <w:tcW w:w="1838" w:type="dxa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0E0B8299" w14:textId="77777777" w:rsidR="006E4913" w:rsidRPr="007A4616" w:rsidRDefault="006E4913" w:rsidP="00A71201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Screening karcinomu tlustého střeva a konečníku</w:t>
            </w:r>
          </w:p>
        </w:tc>
        <w:tc>
          <w:tcPr>
            <w:tcW w:w="5944" w:type="dxa"/>
            <w:gridSpan w:val="7"/>
            <w:shd w:val="clear" w:color="auto" w:fill="FFFFFF" w:themeFill="background1"/>
            <w:vAlign w:val="center"/>
          </w:tcPr>
          <w:p w14:paraId="6A9DD74F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459E696" w14:textId="14CC3230" w:rsidR="006E4913" w:rsidRPr="007A4616" w:rsidRDefault="0076422C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  <w:t>v</w:t>
            </w:r>
            <w:r w:rsidR="006E4913"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16"/>
                <w:szCs w:val="16"/>
                <w:lang w:eastAsia="cs-CZ"/>
              </w:rPr>
              <w:t xml:space="preserve"> 50 letech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7EFF01E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1 x za 2 roky</w:t>
            </w:r>
          </w:p>
        </w:tc>
      </w:tr>
      <w:tr w:rsidR="006E4913" w14:paraId="14ED007C" w14:textId="77777777" w:rsidTr="00A71201">
        <w:trPr>
          <w:trHeight w:val="544"/>
        </w:trPr>
        <w:tc>
          <w:tcPr>
            <w:tcW w:w="1838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44D1E7F" w14:textId="77777777" w:rsidR="006E4913" w:rsidRPr="007A4616" w:rsidRDefault="006E4913" w:rsidP="00A71201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Screening mamografického vyšetření</w:t>
            </w:r>
          </w:p>
        </w:tc>
        <w:tc>
          <w:tcPr>
            <w:tcW w:w="495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7B493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gridSpan w:val="4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FF714FE" w14:textId="4A61E2F4" w:rsidR="006E4913" w:rsidRPr="007A4616" w:rsidRDefault="0076422C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o</w:t>
            </w:r>
            <w:r w:rsidR="006E4913"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d 45 let 1 x za 2 roky</w:t>
            </w:r>
          </w:p>
        </w:tc>
      </w:tr>
      <w:tr w:rsidR="006E4913" w14:paraId="690447A8" w14:textId="77777777" w:rsidTr="00A71201">
        <w:trPr>
          <w:trHeight w:val="544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3384EF7" w14:textId="77777777" w:rsidR="006E4913" w:rsidRPr="007A4616" w:rsidRDefault="006E4913" w:rsidP="00A71201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Screening karcinomu děložního hrdla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3A433C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6511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031FEAF" w14:textId="77777777" w:rsidR="006E4913" w:rsidRPr="007A4616" w:rsidRDefault="006E4913" w:rsidP="00A71201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</w:pPr>
            <w:r w:rsidRPr="007A4616">
              <w:rPr>
                <w:rFonts w:ascii="Times New Roman" w:eastAsia="Times New Roman" w:hAnsi="Times New Roman" w:cs="Times New Roman"/>
                <w:color w:val="212121"/>
                <w:kern w:val="36"/>
                <w:sz w:val="20"/>
                <w:szCs w:val="20"/>
                <w:lang w:eastAsia="cs-CZ"/>
              </w:rPr>
              <w:t>1 x ročně (po zahájení sexuální aktivity)</w:t>
            </w:r>
          </w:p>
        </w:tc>
      </w:tr>
      <w:bookmarkEnd w:id="0"/>
    </w:tbl>
    <w:p w14:paraId="4AEB11A5" w14:textId="77777777" w:rsidR="00B66610" w:rsidRPr="002E781C" w:rsidRDefault="00B66610" w:rsidP="00B66610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</w:p>
    <w:p w14:paraId="477B60D1" w14:textId="633E1F05" w:rsidR="009B7696" w:rsidRPr="002E781C" w:rsidRDefault="009B7696" w:rsidP="002E781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  <w:lang w:eastAsia="cs-CZ"/>
        </w:rPr>
      </w:pPr>
    </w:p>
    <w:p w14:paraId="6138EEA3" w14:textId="2C95C588" w:rsidR="009B7696" w:rsidRPr="002E781C" w:rsidRDefault="009B7696" w:rsidP="002E781C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cs-CZ"/>
        </w:rPr>
      </w:pPr>
      <w:r w:rsidRPr="002E781C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cs-CZ"/>
        </w:rPr>
        <w:t>VČASNÉ ODHALENÍ NEMOCI MŮŽE PŘISPĚT K</w:t>
      </w:r>
      <w:r w:rsidR="008050BF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cs-CZ"/>
        </w:rPr>
        <w:t xml:space="preserve"> </w:t>
      </w:r>
      <w:r w:rsidRPr="002E781C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cs-CZ"/>
        </w:rPr>
        <w:t xml:space="preserve">RYCHLEJŠÍMU UZDRAVENÍ </w:t>
      </w:r>
      <w:r w:rsidR="00C144F4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cs-CZ"/>
        </w:rPr>
        <w:br/>
      </w:r>
      <w:r w:rsidRPr="002E781C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cs-CZ"/>
        </w:rPr>
        <w:t>ČI ZÁCHRANĚ ŽIVOTA. PEČUJTE O SVÉ ZDRAVÍ A ZAČNĚTĚ TÍM, ŽE BUDETE CHODIT NA PREVENTIVNÍ PROHLÍDKY.</w:t>
      </w:r>
    </w:p>
    <w:sectPr w:rsidR="009B7696" w:rsidRPr="002E781C" w:rsidSect="00FE1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6D26"/>
    <w:multiLevelType w:val="hybridMultilevel"/>
    <w:tmpl w:val="7074A1AA"/>
    <w:lvl w:ilvl="0" w:tplc="9F842DB2">
      <w:start w:val="1"/>
      <w:numFmt w:val="lowerLetter"/>
      <w:lvlText w:val="%1)"/>
      <w:lvlJc w:val="left"/>
      <w:pPr>
        <w:ind w:left="1068" w:hanging="360"/>
      </w:pPr>
      <w:rPr>
        <w:rFonts w:ascii="Source Sans Pro" w:eastAsiaTheme="minorHAnsi" w:hAnsi="Source Sans Pro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6950E3"/>
    <w:multiLevelType w:val="multilevel"/>
    <w:tmpl w:val="D87813A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4B0D7F"/>
    <w:multiLevelType w:val="hybridMultilevel"/>
    <w:tmpl w:val="BA3E71CE"/>
    <w:lvl w:ilvl="0" w:tplc="3E6C1696">
      <w:start w:val="1"/>
      <w:numFmt w:val="decimal"/>
      <w:lvlText w:val="%1."/>
      <w:lvlJc w:val="left"/>
      <w:pPr>
        <w:ind w:left="1428" w:hanging="360"/>
      </w:pPr>
      <w:rPr>
        <w:rFonts w:ascii="Source Sans Pro" w:eastAsiaTheme="minorHAnsi" w:hAnsi="Source Sans Pro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480079"/>
    <w:multiLevelType w:val="hybridMultilevel"/>
    <w:tmpl w:val="1D3AB082"/>
    <w:lvl w:ilvl="0" w:tplc="26F6FD76">
      <w:start w:val="1"/>
      <w:numFmt w:val="lowerLetter"/>
      <w:lvlText w:val="%1)"/>
      <w:lvlJc w:val="left"/>
      <w:pPr>
        <w:ind w:left="720" w:hanging="360"/>
      </w:pPr>
      <w:rPr>
        <w:rFonts w:ascii="Source Sans Pro" w:eastAsiaTheme="minorHAnsi" w:hAnsi="Source Sans Pro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0756"/>
    <w:multiLevelType w:val="hybridMultilevel"/>
    <w:tmpl w:val="BA3E71CE"/>
    <w:lvl w:ilvl="0" w:tplc="3E6C1696">
      <w:start w:val="1"/>
      <w:numFmt w:val="decimal"/>
      <w:lvlText w:val="%1."/>
      <w:lvlJc w:val="left"/>
      <w:pPr>
        <w:ind w:left="1428" w:hanging="360"/>
      </w:pPr>
      <w:rPr>
        <w:rFonts w:ascii="Source Sans Pro" w:eastAsiaTheme="minorHAnsi" w:hAnsi="Source Sans Pro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C5066A"/>
    <w:multiLevelType w:val="hybridMultilevel"/>
    <w:tmpl w:val="BA3E71CE"/>
    <w:lvl w:ilvl="0" w:tplc="3E6C1696">
      <w:start w:val="1"/>
      <w:numFmt w:val="decimal"/>
      <w:lvlText w:val="%1."/>
      <w:lvlJc w:val="left"/>
      <w:pPr>
        <w:ind w:left="1428" w:hanging="360"/>
      </w:pPr>
      <w:rPr>
        <w:rFonts w:ascii="Source Sans Pro" w:eastAsiaTheme="minorHAnsi" w:hAnsi="Source Sans Pro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5A4956"/>
    <w:multiLevelType w:val="hybridMultilevel"/>
    <w:tmpl w:val="AFCA6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B6DA0"/>
    <w:multiLevelType w:val="multilevel"/>
    <w:tmpl w:val="9F28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42194"/>
    <w:multiLevelType w:val="hybridMultilevel"/>
    <w:tmpl w:val="7074A1AA"/>
    <w:lvl w:ilvl="0" w:tplc="9F842DB2">
      <w:start w:val="1"/>
      <w:numFmt w:val="lowerLetter"/>
      <w:lvlText w:val="%1)"/>
      <w:lvlJc w:val="left"/>
      <w:pPr>
        <w:ind w:left="1068" w:hanging="360"/>
      </w:pPr>
      <w:rPr>
        <w:rFonts w:ascii="Source Sans Pro" w:eastAsiaTheme="minorHAnsi" w:hAnsi="Source Sans Pro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647D6B"/>
    <w:multiLevelType w:val="hybridMultilevel"/>
    <w:tmpl w:val="D5304B28"/>
    <w:lvl w:ilvl="0" w:tplc="8C620F9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96A68"/>
    <w:multiLevelType w:val="multilevel"/>
    <w:tmpl w:val="BC6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C5EF9"/>
    <w:multiLevelType w:val="hybridMultilevel"/>
    <w:tmpl w:val="67F20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1362F"/>
    <w:multiLevelType w:val="hybridMultilevel"/>
    <w:tmpl w:val="4BBA835C"/>
    <w:lvl w:ilvl="0" w:tplc="C0202B8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E7878"/>
    <w:multiLevelType w:val="hybridMultilevel"/>
    <w:tmpl w:val="7074A1AA"/>
    <w:lvl w:ilvl="0" w:tplc="9F842DB2">
      <w:start w:val="1"/>
      <w:numFmt w:val="lowerLetter"/>
      <w:lvlText w:val="%1)"/>
      <w:lvlJc w:val="left"/>
      <w:pPr>
        <w:ind w:left="1068" w:hanging="360"/>
      </w:pPr>
      <w:rPr>
        <w:rFonts w:ascii="Source Sans Pro" w:eastAsiaTheme="minorHAnsi" w:hAnsi="Source Sans Pro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CA"/>
    <w:rsid w:val="000459A4"/>
    <w:rsid w:val="000621FD"/>
    <w:rsid w:val="000D7D1F"/>
    <w:rsid w:val="001004AC"/>
    <w:rsid w:val="00107178"/>
    <w:rsid w:val="00281936"/>
    <w:rsid w:val="002E781C"/>
    <w:rsid w:val="0032252A"/>
    <w:rsid w:val="0034472E"/>
    <w:rsid w:val="003462C8"/>
    <w:rsid w:val="00371F5D"/>
    <w:rsid w:val="00410BC0"/>
    <w:rsid w:val="00434F07"/>
    <w:rsid w:val="004C5F3D"/>
    <w:rsid w:val="004E5F25"/>
    <w:rsid w:val="00511BA5"/>
    <w:rsid w:val="005264B6"/>
    <w:rsid w:val="005525C5"/>
    <w:rsid w:val="005D77CA"/>
    <w:rsid w:val="005E5528"/>
    <w:rsid w:val="005F37C3"/>
    <w:rsid w:val="00674D1D"/>
    <w:rsid w:val="00686871"/>
    <w:rsid w:val="006D6AFA"/>
    <w:rsid w:val="006E4913"/>
    <w:rsid w:val="00722BED"/>
    <w:rsid w:val="0076422C"/>
    <w:rsid w:val="00782CB5"/>
    <w:rsid w:val="007C7C9C"/>
    <w:rsid w:val="008050BF"/>
    <w:rsid w:val="00855B3E"/>
    <w:rsid w:val="00895B30"/>
    <w:rsid w:val="008A1F40"/>
    <w:rsid w:val="008F2494"/>
    <w:rsid w:val="00982A3E"/>
    <w:rsid w:val="009B7696"/>
    <w:rsid w:val="009D2C7E"/>
    <w:rsid w:val="009E1E53"/>
    <w:rsid w:val="00A57D62"/>
    <w:rsid w:val="00AA2673"/>
    <w:rsid w:val="00AE210B"/>
    <w:rsid w:val="00B66610"/>
    <w:rsid w:val="00BA6BBC"/>
    <w:rsid w:val="00BB38E1"/>
    <w:rsid w:val="00C00BE1"/>
    <w:rsid w:val="00C144F4"/>
    <w:rsid w:val="00C169BA"/>
    <w:rsid w:val="00DB707C"/>
    <w:rsid w:val="00F2124F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F6C0"/>
  <w15:chartTrackingRefBased/>
  <w15:docId w15:val="{6C0AB0C8-E61A-484B-83CA-6774D0E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2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C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D2C7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4D1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E55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E5528"/>
    <w:rPr>
      <w:color w:val="954F72" w:themeColor="followedHyperlink"/>
      <w:u w:val="single"/>
    </w:rPr>
  </w:style>
  <w:style w:type="paragraph" w:customStyle="1" w:styleId="l3">
    <w:name w:val="l3"/>
    <w:basedOn w:val="Normln"/>
    <w:rsid w:val="0034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4472E"/>
    <w:rPr>
      <w:i/>
      <w:iCs/>
    </w:rPr>
  </w:style>
  <w:style w:type="paragraph" w:customStyle="1" w:styleId="l4">
    <w:name w:val="l4"/>
    <w:basedOn w:val="Normln"/>
    <w:rsid w:val="0034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34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6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png@01DA0D71.7A1C46F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1643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Jana Mgr.</dc:creator>
  <cp:keywords/>
  <dc:description/>
  <cp:lastModifiedBy>Hynková Jana Mgr.</cp:lastModifiedBy>
  <cp:revision>12</cp:revision>
  <cp:lastPrinted>2023-01-19T08:46:00Z</cp:lastPrinted>
  <dcterms:created xsi:type="dcterms:W3CDTF">2023-01-16T09:11:00Z</dcterms:created>
  <dcterms:modified xsi:type="dcterms:W3CDTF">2023-12-11T13:02:00Z</dcterms:modified>
</cp:coreProperties>
</file>