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3D4EA0EB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461045">
        <w:rPr>
          <w:noProof/>
        </w:rPr>
        <w:drawing>
          <wp:inline distT="0" distB="0" distL="0" distR="0" wp14:anchorId="0C802BAB" wp14:editId="2C17FFDC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143750F1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FD6EC8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 w:rsidRPr="00461045">
        <w:rPr>
          <w:rFonts w:ascii="Arial" w:hAnsi="Arial" w:cs="Arial"/>
          <w:sz w:val="20"/>
          <w:szCs w:val="20"/>
        </w:rPr>
        <w:t>KUKHK-32406</w:t>
      </w:r>
      <w:r w:rsidR="00FD6EC8" w:rsidRPr="00461045">
        <w:rPr>
          <w:rFonts w:ascii="Arial" w:hAnsi="Arial" w:cs="Arial"/>
          <w:sz w:val="20"/>
          <w:szCs w:val="20"/>
        </w:rPr>
        <w:t>/DS/2023-</w:t>
      </w:r>
      <w:r w:rsidR="00A87339" w:rsidRPr="00461045">
        <w:rPr>
          <w:rFonts w:ascii="Arial" w:hAnsi="Arial" w:cs="Arial"/>
          <w:sz w:val="20"/>
          <w:szCs w:val="20"/>
        </w:rPr>
        <w:t>4</w:t>
      </w:r>
      <w:r w:rsidR="00FD6EC8" w:rsidRPr="00461045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D6EC8" w:rsidRPr="00461045">
        <w:rPr>
          <w:rFonts w:ascii="Arial" w:hAnsi="Arial" w:cs="Arial"/>
          <w:sz w:val="20"/>
          <w:szCs w:val="20"/>
        </w:rPr>
        <w:t>Ma</w:t>
      </w:r>
      <w:proofErr w:type="spellEnd"/>
      <w:r w:rsidR="00FD6EC8" w:rsidRPr="00461045">
        <w:rPr>
          <w:rFonts w:ascii="Arial" w:hAnsi="Arial" w:cs="Arial"/>
          <w:sz w:val="20"/>
          <w:szCs w:val="20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839EA39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</w:t>
      </w:r>
      <w:r w:rsidR="004749B2">
        <w:rPr>
          <w:rFonts w:ascii="Arial" w:hAnsi="Arial" w:cs="Arial"/>
          <w:sz w:val="20"/>
          <w:szCs w:val="20"/>
        </w:rPr>
        <w:t>khk</w:t>
      </w:r>
      <w:r w:rsidR="004D7B7F" w:rsidRPr="004D7B7F">
        <w:rPr>
          <w:rFonts w:ascii="Arial" w:hAnsi="Arial" w:cs="Arial"/>
          <w:sz w:val="20"/>
          <w:szCs w:val="20"/>
        </w:rPr>
        <w:t>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1027953A" w:rsidR="006652E3" w:rsidRPr="005B3FB4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 w:rsidRPr="00461045">
        <w:rPr>
          <w:rFonts w:ascii="Arial" w:hAnsi="Arial" w:cs="Arial"/>
          <w:sz w:val="20"/>
          <w:szCs w:val="20"/>
        </w:rPr>
        <w:t>08</w:t>
      </w:r>
      <w:r w:rsidR="00FD6EC8" w:rsidRPr="00461045">
        <w:rPr>
          <w:rFonts w:ascii="Arial" w:hAnsi="Arial" w:cs="Arial"/>
          <w:sz w:val="20"/>
          <w:szCs w:val="20"/>
        </w:rPr>
        <w:t>.1</w:t>
      </w:r>
      <w:r w:rsidR="00A87339" w:rsidRPr="00461045">
        <w:rPr>
          <w:rFonts w:ascii="Arial" w:hAnsi="Arial" w:cs="Arial"/>
          <w:sz w:val="20"/>
          <w:szCs w:val="20"/>
        </w:rPr>
        <w:t>1</w:t>
      </w:r>
      <w:r w:rsidR="00FD6EC8" w:rsidRPr="00461045">
        <w:rPr>
          <w:rFonts w:ascii="Arial" w:hAnsi="Arial" w:cs="Arial"/>
          <w:sz w:val="20"/>
          <w:szCs w:val="20"/>
        </w:rPr>
        <w:t>.202</w:t>
      </w:r>
      <w:r w:rsidR="00461045" w:rsidRPr="00461045">
        <w:rPr>
          <w:rFonts w:ascii="Arial" w:hAnsi="Arial" w:cs="Arial"/>
          <w:sz w:val="20"/>
          <w:szCs w:val="20"/>
        </w:rPr>
        <w:t>4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6D62B907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461045">
        <w:rPr>
          <w:rFonts w:ascii="Arial" w:hAnsi="Arial" w:cs="Arial"/>
          <w:color w:val="333399"/>
          <w:sz w:val="20"/>
          <w:szCs w:val="20"/>
        </w:rPr>
        <w:t>3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0B4C02A8" w14:textId="77777777" w:rsidR="00377A18" w:rsidRPr="002E5153" w:rsidRDefault="00377A18" w:rsidP="00377A18">
      <w:pPr>
        <w:pStyle w:val="Zkladntext"/>
        <w:spacing w:line="276" w:lineRule="auto"/>
        <w:rPr>
          <w:rFonts w:ascii="Calibri" w:hAnsi="Calibri"/>
        </w:rPr>
      </w:pPr>
    </w:p>
    <w:p w14:paraId="7E0E9FF9" w14:textId="77777777" w:rsidR="00924795" w:rsidRPr="00991BC8" w:rsidRDefault="00924795" w:rsidP="00924795">
      <w:pPr>
        <w:pStyle w:val="Zkladntext"/>
      </w:pPr>
    </w:p>
    <w:p w14:paraId="257B5C72" w14:textId="4BEEC8D2" w:rsidR="00B42A7E" w:rsidRDefault="00924795" w:rsidP="00A87339">
      <w:pPr>
        <w:pStyle w:val="Zkladntext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</w:t>
      </w:r>
      <w:r w:rsidR="00B42A7E">
        <w:rPr>
          <w:rFonts w:asciiTheme="minorHAnsi" w:hAnsiTheme="minorHAnsi"/>
          <w:sz w:val="22"/>
          <w:szCs w:val="22"/>
        </w:rPr>
        <w:t>1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řádu, ve znění pozdějších předpisů, (dále jen „správní řád“)</w:t>
      </w:r>
      <w:r w:rsidR="00FC0F87">
        <w:rPr>
          <w:rFonts w:asciiTheme="minorHAnsi" w:hAnsiTheme="minorHAnsi"/>
          <w:sz w:val="22"/>
          <w:szCs w:val="22"/>
        </w:rPr>
        <w:t xml:space="preserve"> a </w:t>
      </w:r>
      <w:proofErr w:type="spellStart"/>
      <w:r w:rsidR="00FC0F87">
        <w:rPr>
          <w:rFonts w:asciiTheme="minorHAnsi" w:hAnsiTheme="minorHAnsi"/>
          <w:sz w:val="22"/>
          <w:szCs w:val="22"/>
        </w:rPr>
        <w:t>ust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§ 40 odst. 3) písm. e) </w:t>
      </w:r>
      <w:proofErr w:type="spellStart"/>
      <w:r w:rsidR="00FC0F87">
        <w:rPr>
          <w:rFonts w:asciiTheme="minorHAnsi" w:hAnsiTheme="minorHAnsi"/>
          <w:sz w:val="22"/>
          <w:szCs w:val="22"/>
        </w:rPr>
        <w:t>z.č</w:t>
      </w:r>
      <w:proofErr w:type="spellEnd"/>
      <w:r w:rsidR="00FC0F87">
        <w:rPr>
          <w:rFonts w:asciiTheme="minorHAnsi" w:hAnsiTheme="minorHAnsi"/>
          <w:sz w:val="22"/>
          <w:szCs w:val="22"/>
        </w:rPr>
        <w:t xml:space="preserve">. 13/1997 Sb., o pozemních komunikacích, ve zn. </w:t>
      </w:r>
      <w:proofErr w:type="spellStart"/>
      <w:r w:rsidR="00FC0F87">
        <w:rPr>
          <w:rFonts w:asciiTheme="minorHAnsi" w:hAnsiTheme="minorHAnsi"/>
          <w:sz w:val="22"/>
          <w:szCs w:val="22"/>
        </w:rPr>
        <w:t>pozd</w:t>
      </w:r>
      <w:proofErr w:type="spellEnd"/>
      <w:r w:rsidR="00FC0F87">
        <w:rPr>
          <w:rFonts w:asciiTheme="minorHAnsi" w:hAnsiTheme="minorHAnsi"/>
          <w:sz w:val="22"/>
          <w:szCs w:val="22"/>
        </w:rPr>
        <w:t>. předpisů (dále jen „ZPK“)</w:t>
      </w:r>
      <w:r w:rsidRPr="00924795">
        <w:rPr>
          <w:rFonts w:asciiTheme="minorHAnsi" w:hAnsiTheme="minorHAnsi"/>
          <w:sz w:val="22"/>
          <w:szCs w:val="22"/>
        </w:rPr>
        <w:t xml:space="preserve"> </w:t>
      </w:r>
      <w:r w:rsidRPr="00FC0F87">
        <w:rPr>
          <w:rFonts w:asciiTheme="minorHAnsi" w:hAnsiTheme="minorHAnsi"/>
          <w:b/>
          <w:bCs/>
          <w:sz w:val="22"/>
          <w:szCs w:val="22"/>
        </w:rPr>
        <w:t>rozhodl</w:t>
      </w:r>
      <w:r w:rsidRPr="00924795">
        <w:rPr>
          <w:rFonts w:asciiTheme="minorHAnsi" w:hAnsiTheme="minorHAnsi"/>
          <w:sz w:val="22"/>
          <w:szCs w:val="22"/>
        </w:rPr>
        <w:t xml:space="preserve"> </w:t>
      </w:r>
      <w:r w:rsidR="00A87339">
        <w:rPr>
          <w:rFonts w:asciiTheme="minorHAnsi" w:hAnsiTheme="minorHAnsi"/>
          <w:sz w:val="22"/>
          <w:szCs w:val="22"/>
        </w:rPr>
        <w:t xml:space="preserve">o </w:t>
      </w:r>
      <w:r w:rsidR="004749B2" w:rsidRPr="00F1040C">
        <w:rPr>
          <w:rFonts w:asciiTheme="minorHAnsi" w:hAnsiTheme="minorHAnsi" w:cstheme="minorHAnsi"/>
          <w:b/>
          <w:sz w:val="22"/>
          <w:szCs w:val="22"/>
        </w:rPr>
        <w:t xml:space="preserve">odvolání </w:t>
      </w:r>
      <w:r w:rsidR="004749B2" w:rsidRPr="00F1040C">
        <w:rPr>
          <w:rFonts w:ascii="Arial" w:hAnsi="Arial" w:cs="Arial"/>
          <w:b/>
          <w:sz w:val="20"/>
          <w:szCs w:val="20"/>
        </w:rPr>
        <w:t>Správy železnic, státní organizace</w:t>
      </w:r>
      <w:r w:rsidR="004749B2">
        <w:rPr>
          <w:rFonts w:ascii="Arial" w:hAnsi="Arial" w:cs="Arial"/>
          <w:sz w:val="20"/>
          <w:szCs w:val="20"/>
        </w:rPr>
        <w:t>, IČO 70994234,</w:t>
      </w:r>
      <w:r w:rsidR="004749B2">
        <w:rPr>
          <w:rFonts w:ascii="Arial" w:hAnsi="Arial" w:cs="Arial"/>
          <w:b/>
          <w:bCs/>
          <w:sz w:val="20"/>
          <w:szCs w:val="20"/>
        </w:rPr>
        <w:t xml:space="preserve"> </w:t>
      </w:r>
      <w:r w:rsidR="004749B2">
        <w:rPr>
          <w:rFonts w:ascii="Arial" w:hAnsi="Arial" w:cs="Arial"/>
          <w:sz w:val="20"/>
          <w:szCs w:val="20"/>
          <w:lang w:eastAsia="ja-JP"/>
        </w:rPr>
        <w:t xml:space="preserve">Dlážděná 1003/7, 110 00 Praha, </w:t>
      </w:r>
      <w:r w:rsidR="004749B2">
        <w:rPr>
          <w:rFonts w:ascii="Arial" w:hAnsi="Arial" w:cs="Arial"/>
          <w:sz w:val="20"/>
          <w:szCs w:val="20"/>
        </w:rPr>
        <w:t xml:space="preserve">Oblastní ředitelství Hradec Králové, U </w:t>
      </w:r>
      <w:proofErr w:type="spellStart"/>
      <w:r w:rsidR="004749B2">
        <w:rPr>
          <w:rFonts w:ascii="Arial" w:hAnsi="Arial" w:cs="Arial"/>
          <w:sz w:val="20"/>
          <w:szCs w:val="20"/>
        </w:rPr>
        <w:t>Fotochemy</w:t>
      </w:r>
      <w:proofErr w:type="spellEnd"/>
      <w:r w:rsidR="004749B2">
        <w:rPr>
          <w:rFonts w:ascii="Arial" w:hAnsi="Arial" w:cs="Arial"/>
          <w:sz w:val="20"/>
          <w:szCs w:val="20"/>
        </w:rPr>
        <w:t xml:space="preserve"> 259, 501 01 Hradec Králové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proti </w:t>
      </w:r>
      <w:r w:rsidR="004749B2">
        <w:rPr>
          <w:rFonts w:asciiTheme="minorHAnsi" w:hAnsiTheme="minorHAnsi" w:cstheme="minorHAnsi"/>
          <w:b/>
          <w:sz w:val="22"/>
          <w:szCs w:val="22"/>
        </w:rPr>
        <w:t>rozhodnutí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749B2">
        <w:rPr>
          <w:rFonts w:asciiTheme="minorHAnsi" w:hAnsiTheme="minorHAnsi" w:cstheme="minorHAnsi"/>
          <w:b/>
          <w:sz w:val="22"/>
          <w:szCs w:val="22"/>
        </w:rPr>
        <w:t>Magistrátu města Hradec Králové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D3A5D">
        <w:rPr>
          <w:rFonts w:asciiTheme="minorHAnsi" w:hAnsiTheme="minorHAnsi" w:cstheme="minorHAnsi"/>
          <w:b/>
          <w:sz w:val="22"/>
          <w:szCs w:val="22"/>
        </w:rPr>
        <w:t xml:space="preserve">(MMHK) </w:t>
      </w:r>
      <w:r w:rsidR="004749B2" w:rsidRPr="00461045">
        <w:rPr>
          <w:rFonts w:asciiTheme="minorHAnsi" w:hAnsiTheme="minorHAnsi" w:cstheme="minorHAnsi"/>
          <w:bCs/>
          <w:sz w:val="22"/>
          <w:szCs w:val="22"/>
        </w:rPr>
        <w:t xml:space="preserve">ze dne 29.08.2024, </w:t>
      </w:r>
      <w:proofErr w:type="spellStart"/>
      <w:r w:rsidR="004749B2" w:rsidRPr="00461045">
        <w:rPr>
          <w:rFonts w:asciiTheme="minorHAnsi" w:hAnsiTheme="minorHAnsi" w:cstheme="minorHAnsi"/>
          <w:bCs/>
          <w:sz w:val="22"/>
          <w:szCs w:val="22"/>
        </w:rPr>
        <w:t>sp.zn</w:t>
      </w:r>
      <w:proofErr w:type="spellEnd"/>
      <w:r w:rsidR="004749B2" w:rsidRPr="00461045">
        <w:rPr>
          <w:rFonts w:asciiTheme="minorHAnsi" w:hAnsiTheme="minorHAnsi" w:cstheme="minorHAnsi"/>
          <w:bCs/>
          <w:sz w:val="22"/>
          <w:szCs w:val="22"/>
        </w:rPr>
        <w:t>. SZ MMHK/539528/2023 OD1/Kab MMHK/362666/2024</w:t>
      </w:r>
      <w:r w:rsidR="004749B2" w:rsidRPr="00EC1BAC">
        <w:rPr>
          <w:rFonts w:asciiTheme="minorHAnsi" w:hAnsiTheme="minorHAnsi" w:cstheme="minorHAnsi"/>
          <w:b/>
          <w:sz w:val="22"/>
          <w:szCs w:val="22"/>
        </w:rPr>
        <w:t xml:space="preserve">, kterým bylo rozhodnuto </w:t>
      </w:r>
      <w:r w:rsidR="004749B2">
        <w:rPr>
          <w:rFonts w:asciiTheme="minorHAnsi" w:hAnsiTheme="minorHAnsi" w:cstheme="minorHAnsi"/>
          <w:b/>
          <w:sz w:val="22"/>
          <w:szCs w:val="22"/>
        </w:rPr>
        <w:t xml:space="preserve">zamítnutí žádosti odvolatele o </w:t>
      </w:r>
      <w:r w:rsidR="004749B2" w:rsidRPr="00F1040C">
        <w:rPr>
          <w:rFonts w:asciiTheme="minorHAnsi" w:hAnsiTheme="minorHAnsi" w:cstheme="minorHAnsi"/>
          <w:b/>
          <w:sz w:val="22"/>
          <w:szCs w:val="22"/>
        </w:rPr>
        <w:t xml:space="preserve">zrušení železničního přejezdu </w:t>
      </w:r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P5150 v km 1,267 železniční trati Dobruška – Opočno pod Orlickými horami ležící na pozemku </w:t>
      </w:r>
      <w:proofErr w:type="spellStart"/>
      <w:r w:rsidR="004749B2">
        <w:rPr>
          <w:rFonts w:ascii="Arial-BoldMT" w:hAnsi="Arial-BoldMT" w:cs="Arial-BoldMT"/>
          <w:b/>
          <w:bCs/>
          <w:sz w:val="20"/>
          <w:szCs w:val="20"/>
        </w:rPr>
        <w:t>p.č</w:t>
      </w:r>
      <w:proofErr w:type="spellEnd"/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. 798 v </w:t>
      </w:r>
      <w:proofErr w:type="spellStart"/>
      <w:r w:rsidR="004749B2">
        <w:rPr>
          <w:rFonts w:ascii="Arial-BoldMT" w:hAnsi="Arial-BoldMT" w:cs="Arial-BoldMT"/>
          <w:b/>
          <w:bCs/>
          <w:sz w:val="20"/>
          <w:szCs w:val="20"/>
        </w:rPr>
        <w:t>k.ú</w:t>
      </w:r>
      <w:proofErr w:type="spellEnd"/>
      <w:r w:rsidR="004749B2">
        <w:rPr>
          <w:rFonts w:ascii="Arial-BoldMT" w:hAnsi="Arial-BoldMT" w:cs="Arial-BoldMT"/>
          <w:b/>
          <w:bCs/>
          <w:sz w:val="20"/>
          <w:szCs w:val="20"/>
        </w:rPr>
        <w:t>. Pulice,</w:t>
      </w:r>
      <w:r w:rsidR="00461045">
        <w:rPr>
          <w:rFonts w:ascii="Arial-BoldMT" w:hAnsi="Arial-BoldMT" w:cs="Arial-BoldMT"/>
          <w:b/>
          <w:bCs/>
          <w:sz w:val="20"/>
          <w:szCs w:val="20"/>
        </w:rPr>
        <w:t xml:space="preserve"> obci Dobruška,</w:t>
      </w:r>
      <w:r w:rsidR="004749B2">
        <w:rPr>
          <w:rFonts w:ascii="Arial-BoldMT" w:hAnsi="Arial-BoldMT" w:cs="Arial-BoldMT"/>
          <w:b/>
          <w:bCs/>
          <w:sz w:val="20"/>
          <w:szCs w:val="20"/>
        </w:rPr>
        <w:t xml:space="preserve"> </w:t>
      </w:r>
      <w:r w:rsidR="00A87339">
        <w:rPr>
          <w:rFonts w:asciiTheme="minorHAnsi" w:hAnsiTheme="minorHAnsi" w:cstheme="minorHAnsi"/>
          <w:b/>
          <w:bCs/>
          <w:sz w:val="22"/>
          <w:szCs w:val="22"/>
        </w:rPr>
        <w:t xml:space="preserve">dle </w:t>
      </w:r>
      <w:proofErr w:type="spellStart"/>
      <w:r w:rsidR="00A87339">
        <w:rPr>
          <w:rFonts w:asciiTheme="minorHAnsi" w:hAnsiTheme="minorHAnsi" w:cstheme="minorHAnsi"/>
          <w:b/>
          <w:bCs/>
          <w:sz w:val="22"/>
          <w:szCs w:val="22"/>
        </w:rPr>
        <w:t>ust</w:t>
      </w:r>
      <w:proofErr w:type="spellEnd"/>
      <w:r w:rsidR="00A87339">
        <w:rPr>
          <w:rFonts w:asciiTheme="minorHAnsi" w:hAnsiTheme="minorHAnsi" w:cstheme="minorHAnsi"/>
          <w:b/>
          <w:bCs/>
          <w:sz w:val="22"/>
          <w:szCs w:val="22"/>
        </w:rPr>
        <w:t>. § 90 odst. 1) písm. b) správního řádu</w:t>
      </w:r>
      <w:r w:rsidR="004749B2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A87339">
        <w:rPr>
          <w:rFonts w:asciiTheme="minorHAnsi" w:hAnsiTheme="minorHAnsi" w:cstheme="minorHAnsi"/>
          <w:b/>
          <w:bCs/>
          <w:sz w:val="22"/>
          <w:szCs w:val="22"/>
        </w:rPr>
        <w:t xml:space="preserve"> takto:</w:t>
      </w:r>
    </w:p>
    <w:p w14:paraId="1ACA0710" w14:textId="4DCBB07E" w:rsidR="00A87339" w:rsidRDefault="00A87339" w:rsidP="00A87339">
      <w:pPr>
        <w:pStyle w:val="Zkladntext"/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A3EABB1" w14:textId="21C105B2" w:rsidR="00A87339" w:rsidRPr="00B54D57" w:rsidRDefault="00A87339" w:rsidP="00A87339">
      <w:pPr>
        <w:pStyle w:val="Zkladntext"/>
        <w:spacing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odvoláním napadené rozhodnutí se ruší a věc se vrací k projednání Magistrátu města Hradec Králové. 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28105C8A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</w:t>
      </w:r>
      <w:r w:rsidR="00B42A7E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</w:p>
    <w:p w14:paraId="1E3E81B6" w14:textId="16BAD0E9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6A6C1284" w:rsidR="004B4EA6" w:rsidRPr="0046637C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u w:val="single"/>
        </w:rPr>
      </w:pPr>
      <w:r w:rsidRPr="0046637C">
        <w:rPr>
          <w:rFonts w:asciiTheme="minorHAnsi" w:hAnsiTheme="minorHAnsi"/>
          <w:b/>
          <w:smallCaps/>
          <w:u w:val="single"/>
        </w:rPr>
        <w:t>Odůvodnění</w:t>
      </w:r>
    </w:p>
    <w:p w14:paraId="04D67CD9" w14:textId="05043604" w:rsidR="00907C01" w:rsidRPr="0046637C" w:rsidRDefault="00907C01" w:rsidP="00907C01">
      <w:pPr>
        <w:spacing w:after="160"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I. postup KÚ KHK a posouzení odvolání</w:t>
      </w:r>
    </w:p>
    <w:p w14:paraId="2799B4F6" w14:textId="1D3A0C97" w:rsidR="00F05B50" w:rsidRPr="0046637C" w:rsidRDefault="00C73479" w:rsidP="00C73479">
      <w:pPr>
        <w:spacing w:line="259" w:lineRule="auto"/>
        <w:jc w:val="center"/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A. </w:t>
      </w:r>
      <w:r w:rsidR="00907C01"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 xml:space="preserve"> včasnost a přípustnost odvolání</w:t>
      </w:r>
    </w:p>
    <w:p w14:paraId="5DF19927" w14:textId="77777777" w:rsidR="00C73479" w:rsidRDefault="00C73479" w:rsidP="00C73479">
      <w:pPr>
        <w:spacing w:line="259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1026FF9" w14:textId="6FD89E83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3E4E91">
        <w:rPr>
          <w:rFonts w:asciiTheme="minorHAnsi" w:hAnsiTheme="minorHAnsi"/>
          <w:bCs/>
          <w:sz w:val="22"/>
          <w:szCs w:val="22"/>
        </w:rPr>
        <w:t xml:space="preserve">KÚ KHK </w:t>
      </w:r>
      <w:r>
        <w:rPr>
          <w:rFonts w:asciiTheme="minorHAnsi" w:hAnsiTheme="minorHAnsi"/>
          <w:bCs/>
          <w:sz w:val="22"/>
          <w:szCs w:val="22"/>
        </w:rPr>
        <w:t xml:space="preserve">obdržel dne 10.10.2024 spis od </w:t>
      </w:r>
      <w:r w:rsidR="00BD3A5D">
        <w:rPr>
          <w:rFonts w:asciiTheme="minorHAnsi" w:hAnsiTheme="minorHAnsi"/>
          <w:bCs/>
          <w:sz w:val="22"/>
          <w:szCs w:val="22"/>
        </w:rPr>
        <w:t>MMHK</w:t>
      </w:r>
      <w:r>
        <w:rPr>
          <w:rFonts w:asciiTheme="minorHAnsi" w:hAnsiTheme="minorHAnsi"/>
          <w:bCs/>
          <w:sz w:val="22"/>
          <w:szCs w:val="22"/>
        </w:rPr>
        <w:t xml:space="preserve"> k provedení odvolacího řízení. KÚ KHK nejprve posuzoval, zda jde o odvolání včasné, podané k tomu oprávněnou osobou.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Odvolatel je žadatelem, je tedy osobou oprávněnou podat odvolání.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30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500/2004 Sb., správního řádu, ve zn. pozdějších předpisů: </w:t>
      </w:r>
      <w:r w:rsidRPr="00907C01">
        <w:rPr>
          <w:rFonts w:ascii="Calibri" w:eastAsia="Calibri" w:hAnsi="Calibri"/>
          <w:i/>
          <w:sz w:val="22"/>
          <w:szCs w:val="22"/>
          <w:lang w:eastAsia="en-US"/>
        </w:rPr>
        <w:t xml:space="preserve">„Jménem právnické osoby činí úkony ten, kdo je k tomu oprávněn v řízení před soudem podle zvláštního zákona.“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A 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1)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>. 99/1963 Sb., občanského soudního řádu, ve zn. pozdějších předpisů se může jednat o tyto osoby:</w:t>
      </w:r>
    </w:p>
    <w:p w14:paraId="458E6B63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>a) člen statutárního orgánu; tvoří-li statutární orgán více osob, jedná za právnickou osobu předseda statutárního orgánu, popřípadě jeho člen, který tím byl pověřen; je-li předsedou nebo pověřeným členem právnická osoba, jedná vždy fyzická osoba, která je k tomu touto právnickou osobou zmocněna nebo jinak oprávněna, nebo</w:t>
      </w:r>
    </w:p>
    <w:p w14:paraId="03BA9D32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b) její zaměstnanec (člen), který tím byl statutárním orgánem pověřen, nebo</w:t>
      </w:r>
    </w:p>
    <w:p w14:paraId="292D2DAE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c) vedoucí jejího odštěpného závodu, jde-li o věci týkající se tohoto závodu, nebo</w:t>
      </w:r>
    </w:p>
    <w:p w14:paraId="453E2DA0" w14:textId="77777777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907C0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d) její prokurista, může-li podle udělené prokury jednat samostatně.</w:t>
      </w:r>
    </w:p>
    <w:p w14:paraId="7D691C8D" w14:textId="44F0C334" w:rsidR="004749B2" w:rsidRPr="00907C01" w:rsidRDefault="004749B2" w:rsidP="004749B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Dle </w:t>
      </w:r>
      <w:proofErr w:type="spellStart"/>
      <w:r w:rsidRPr="00907C01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§ 21 odst. 5) o.s.ř. je povinností jednajícího prokázat své oprávnění. Přílohou odvolání je pověření pana Mgr. Filipa Kudláčka od pana Ing. Pavla Surého (generální ředitel) ze dne 24. 10.2016 k jednání jménem odvolatele ve správních řízeních. Pan Mgr. Filip Kudláček odvolání el. podepsal. Odvolání je tedy přípustné. Odvoláním napadené rozhodnutí bylo doručeno odvolateli dne </w:t>
      </w:r>
      <w:r>
        <w:rPr>
          <w:rFonts w:ascii="Calibri" w:eastAsia="Calibri" w:hAnsi="Calibri"/>
          <w:sz w:val="22"/>
          <w:szCs w:val="22"/>
          <w:lang w:eastAsia="en-US"/>
        </w:rPr>
        <w:t>29.08.2024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</w:t>
      </w:r>
      <w:r>
        <w:rPr>
          <w:rFonts w:ascii="Calibri" w:eastAsia="Calibri" w:hAnsi="Calibri"/>
          <w:sz w:val="22"/>
          <w:szCs w:val="22"/>
          <w:lang w:eastAsia="en-US"/>
        </w:rPr>
        <w:t xml:space="preserve">MMHK 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dne </w:t>
      </w:r>
      <w:r>
        <w:rPr>
          <w:rFonts w:ascii="Calibri" w:eastAsia="Calibri" w:hAnsi="Calibri"/>
          <w:sz w:val="22"/>
          <w:szCs w:val="22"/>
          <w:lang w:eastAsia="en-US"/>
        </w:rPr>
        <w:t>12.09.2024</w:t>
      </w:r>
      <w:r w:rsidRPr="00907C01">
        <w:rPr>
          <w:rFonts w:ascii="Calibri" w:eastAsia="Calibri" w:hAnsi="Calibri"/>
          <w:sz w:val="22"/>
          <w:szCs w:val="22"/>
          <w:lang w:eastAsia="en-US"/>
        </w:rPr>
        <w:t>, jde tedy o odvolání včasné.  Byly vzneseny následující odvolací námitky.</w:t>
      </w:r>
    </w:p>
    <w:p w14:paraId="01624CF3" w14:textId="0EECD9B7" w:rsidR="00C73479" w:rsidRDefault="00C73479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2F68EDB1" w14:textId="12409E57" w:rsidR="00C73479" w:rsidRPr="0046637C" w:rsidRDefault="00C73479" w:rsidP="00C7347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smallCaps/>
          <w:sz w:val="22"/>
          <w:szCs w:val="22"/>
          <w:lang w:eastAsia="en-US"/>
        </w:rPr>
      </w:pPr>
      <w:r w:rsidRPr="0046637C">
        <w:rPr>
          <w:rFonts w:ascii="Calibri" w:eastAsia="Calibri" w:hAnsi="Calibri"/>
          <w:b/>
          <w:bCs/>
          <w:smallCaps/>
          <w:sz w:val="22"/>
          <w:szCs w:val="22"/>
          <w:lang w:eastAsia="en-US"/>
        </w:rPr>
        <w:t>B. postup KÚ KHK v odvolacím řízení</w:t>
      </w:r>
    </w:p>
    <w:p w14:paraId="4EFCC571" w14:textId="65A9609E" w:rsidR="00F05B50" w:rsidRDefault="00F05B50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712CC1EC" w14:textId="7453380D" w:rsidR="00C01EE1" w:rsidRDefault="005F6F7E" w:rsidP="00C01EE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KÚ KHK po obdržení spisu zjistil, že odvolání směřuj</w:t>
      </w:r>
      <w:r w:rsidR="008D47BC">
        <w:rPr>
          <w:rFonts w:ascii="Calibri" w:eastAsia="Calibri" w:hAnsi="Calibri"/>
          <w:sz w:val="22"/>
          <w:szCs w:val="22"/>
          <w:lang w:eastAsia="en-US"/>
        </w:rPr>
        <w:t>e</w:t>
      </w:r>
      <w:r>
        <w:rPr>
          <w:rFonts w:ascii="Calibri" w:eastAsia="Calibri" w:hAnsi="Calibri"/>
          <w:sz w:val="22"/>
          <w:szCs w:val="22"/>
          <w:lang w:eastAsia="en-US"/>
        </w:rPr>
        <w:t xml:space="preserve"> do obsahu závazného stanoviska Policie ČR, proto v souladu s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. § 149 odst. 7) správního řádu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 vyžádal od Policie ČR posouzení správnosti a zákonnosti tohoto závazného stanoviska; Policie ČR dne </w:t>
      </w:r>
      <w:r w:rsidR="00361921">
        <w:rPr>
          <w:rFonts w:ascii="Calibri" w:eastAsia="Calibri" w:hAnsi="Calibri"/>
          <w:sz w:val="22"/>
          <w:szCs w:val="22"/>
          <w:lang w:eastAsia="en-US"/>
        </w:rPr>
        <w:t>01.11.2024</w:t>
      </w:r>
      <w:r w:rsidR="00C01EE1">
        <w:rPr>
          <w:rFonts w:ascii="Calibri" w:eastAsia="Calibri" w:hAnsi="Calibri"/>
          <w:sz w:val="22"/>
          <w:szCs w:val="22"/>
          <w:lang w:eastAsia="en-US"/>
        </w:rPr>
        <w:t xml:space="preserve"> pod čj. 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KRPH-</w:t>
      </w:r>
      <w:r w:rsidR="00361921">
        <w:rPr>
          <w:rFonts w:ascii="Calibri" w:eastAsia="Calibri" w:hAnsi="Calibri"/>
          <w:sz w:val="22"/>
          <w:szCs w:val="22"/>
          <w:lang w:eastAsia="en-US"/>
        </w:rPr>
        <w:t>100243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-2/ČJ-</w:t>
      </w:r>
      <w:proofErr w:type="gramStart"/>
      <w:r w:rsidR="00C01EE1" w:rsidRPr="00C01EE1">
        <w:rPr>
          <w:rFonts w:ascii="Calibri" w:eastAsia="Calibri" w:hAnsi="Calibri"/>
          <w:sz w:val="22"/>
          <w:szCs w:val="22"/>
          <w:lang w:eastAsia="en-US"/>
        </w:rPr>
        <w:t>202</w:t>
      </w:r>
      <w:r w:rsidR="00361921">
        <w:rPr>
          <w:rFonts w:ascii="Calibri" w:eastAsia="Calibri" w:hAnsi="Calibri"/>
          <w:sz w:val="22"/>
          <w:szCs w:val="22"/>
          <w:lang w:eastAsia="en-US"/>
        </w:rPr>
        <w:t>4</w:t>
      </w:r>
      <w:r w:rsidR="00C01EE1" w:rsidRPr="00C01EE1">
        <w:rPr>
          <w:rFonts w:ascii="Calibri" w:eastAsia="Calibri" w:hAnsi="Calibri"/>
          <w:sz w:val="22"/>
          <w:szCs w:val="22"/>
          <w:lang w:eastAsia="en-US"/>
        </w:rPr>
        <w:t>-0500DP</w:t>
      </w:r>
      <w:proofErr w:type="gramEnd"/>
      <w:r w:rsidR="00FE1D06">
        <w:rPr>
          <w:rFonts w:ascii="Calibri" w:eastAsia="Calibri" w:hAnsi="Calibri"/>
          <w:sz w:val="22"/>
          <w:szCs w:val="22"/>
          <w:lang w:eastAsia="en-US"/>
        </w:rPr>
        <w:t xml:space="preserve"> vydala </w:t>
      </w:r>
      <w:r w:rsidR="00B176F7">
        <w:rPr>
          <w:rFonts w:ascii="Calibri" w:eastAsia="Calibri" w:hAnsi="Calibri"/>
          <w:sz w:val="22"/>
          <w:szCs w:val="22"/>
          <w:lang w:eastAsia="en-US"/>
        </w:rPr>
        <w:t>rozhodnutí v přezkumném řízení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, kterým </w:t>
      </w:r>
      <w:r w:rsidR="00C01EE1">
        <w:rPr>
          <w:rFonts w:ascii="Calibri" w:eastAsia="Calibri" w:hAnsi="Calibri"/>
          <w:sz w:val="22"/>
          <w:szCs w:val="22"/>
          <w:lang w:eastAsia="en-US"/>
        </w:rPr>
        <w:t>zrušila</w:t>
      </w:r>
      <w:r w:rsidR="00FE1D06">
        <w:rPr>
          <w:rFonts w:ascii="Calibri" w:eastAsia="Calibri" w:hAnsi="Calibri"/>
          <w:sz w:val="22"/>
          <w:szCs w:val="22"/>
          <w:lang w:eastAsia="en-US"/>
        </w:rPr>
        <w:t xml:space="preserve"> přezkoumávané závazné stanovisko Policie ČR</w:t>
      </w:r>
      <w:r w:rsidR="00C01EE1">
        <w:rPr>
          <w:rFonts w:ascii="Calibri" w:eastAsia="Calibri" w:hAnsi="Calibri"/>
          <w:sz w:val="22"/>
          <w:szCs w:val="22"/>
          <w:lang w:eastAsia="en-US"/>
        </w:rPr>
        <w:t>, což bylo odůvodněno takto:</w:t>
      </w:r>
    </w:p>
    <w:p w14:paraId="0794038B" w14:textId="1A25DACE" w:rsidR="00361921" w:rsidRPr="00361921" w:rsidRDefault="00C01EE1" w:rsidP="0036192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>
        <w:rPr>
          <w:rFonts w:ascii="Calibri" w:eastAsia="Calibri" w:hAnsi="Calibri"/>
          <w:i/>
          <w:iCs/>
          <w:sz w:val="22"/>
          <w:szCs w:val="22"/>
          <w:lang w:eastAsia="en-US"/>
        </w:rPr>
        <w:t>„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jsme tak přezkoumali a je třeba konstatovat následující.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neobsahuje kompletní řešení otázky, která je předmětem závazného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stanoviska, tedy konkrétně je posouzena pouze jedna alternativní trasa a nikterak není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bráno v potaz, že alternativních tras se v řešené oblasti nachází víc, což má zásadní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význam na výrok závazného stanoviska. Dále není uvedeno, jaké jsou </w:t>
      </w:r>
      <w:proofErr w:type="gramStart"/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parametry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(</w:t>
      </w:r>
      <w:proofErr w:type="gramEnd"/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zhodnocení stavebního a dopravně technického stavu) alternativních tras ve srovnání s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trasou stávající a jaké druhy dopravy a jejich intenzity stávající trasu využívají a budou</w:t>
      </w:r>
      <w:r w:rsid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="00361921"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převedeny na trasu alternativní.</w:t>
      </w:r>
    </w:p>
    <w:p w14:paraId="14BAEC00" w14:textId="513062A8" w:rsidR="002314CA" w:rsidRPr="00C01EE1" w:rsidRDefault="00361921" w:rsidP="00361921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 stanovisko tak neobsahuje řádné odůvodnění, což je nutná součást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závazného stanoviska. Obecně totiž platí, že každý úkon správního orgánu, s nímž jsou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spojeny nějaké právní následky, musí být patřičně odůvodněn. Řádné odůvodnění jako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nedílná součást závazného stanoviska má přitom kromě jiného i zásadní význam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pro postup jeho přezkumu. Absence odůvodnění závazného stanoviska totiž automaticky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znamená jeho </w:t>
      </w:r>
      <w:proofErr w:type="gramStart"/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>nepřezkoumatelnost</w:t>
      </w:r>
      <w:proofErr w:type="gramEnd"/>
      <w:r w:rsidRPr="0036192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a tudíž cestu k jeho zrušení.</w:t>
      </w:r>
      <w:r w:rsidR="00C01EE1">
        <w:rPr>
          <w:rFonts w:ascii="Calibri" w:eastAsia="Calibri" w:hAnsi="Calibri"/>
          <w:i/>
          <w:iCs/>
          <w:sz w:val="22"/>
          <w:szCs w:val="22"/>
          <w:lang w:eastAsia="en-US"/>
        </w:rPr>
        <w:t>“</w:t>
      </w:r>
      <w:r w:rsidR="000D70F5" w:rsidRPr="00C01EE1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 </w:t>
      </w:r>
    </w:p>
    <w:p w14:paraId="4AA64245" w14:textId="77777777" w:rsidR="00C01EE1" w:rsidRDefault="00C01EE1" w:rsidP="00C01EE1">
      <w:pPr>
        <w:spacing w:line="259" w:lineRule="auto"/>
        <w:jc w:val="both"/>
        <w:rPr>
          <w:rFonts w:asciiTheme="minorHAnsi" w:hAnsiTheme="minorHAnsi"/>
          <w:sz w:val="22"/>
          <w:szCs w:val="22"/>
        </w:rPr>
      </w:pPr>
    </w:p>
    <w:p w14:paraId="1A5688B7" w14:textId="04C791DA" w:rsidR="002314CA" w:rsidRDefault="002314CA" w:rsidP="002314CA">
      <w:pPr>
        <w:jc w:val="both"/>
        <w:rPr>
          <w:rFonts w:asciiTheme="minorHAnsi" w:hAnsiTheme="minorHAnsi"/>
          <w:sz w:val="22"/>
          <w:szCs w:val="22"/>
        </w:rPr>
      </w:pPr>
    </w:p>
    <w:p w14:paraId="6274D6FB" w14:textId="2AFD1FB6" w:rsidR="00B20CD0" w:rsidRDefault="00E2553F" w:rsidP="00704033">
      <w:pPr>
        <w:pStyle w:val="Zkladntext"/>
        <w:spacing w:after="0" w:line="276" w:lineRule="auto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 xml:space="preserve">Za této situace KÚ KHK konstatuje, že musí dojít ke zrušení odvoláním napadeného rozhodnutí a vrácení věci k novému projednání, neboť absentuje jeden ze zákonných podkladů pro možnost zrušení železničního přejezdu – kladné závazné stanovisko Policie ČR. </w:t>
      </w:r>
    </w:p>
    <w:p w14:paraId="57620011" w14:textId="77777777" w:rsidR="005F6F7E" w:rsidRDefault="005F6F7E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777777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FC0F87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</w:rPr>
      </w:pPr>
      <w:r w:rsidRPr="00FC0F87">
        <w:rPr>
          <w:rFonts w:asciiTheme="minorHAnsi" w:hAnsiTheme="minorHAnsi"/>
          <w:b/>
          <w:smallCaps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672D3DDA" w:rsidR="00514B6B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právník </w:t>
      </w:r>
      <w:r w:rsidR="00727989">
        <w:rPr>
          <w:rFonts w:asciiTheme="minorHAnsi" w:hAnsiTheme="minorHAnsi"/>
          <w:sz w:val="22"/>
          <w:szCs w:val="22"/>
        </w:rPr>
        <w:t>O</w:t>
      </w:r>
      <w:r>
        <w:rPr>
          <w:rFonts w:asciiTheme="minorHAnsi" w:hAnsiTheme="minorHAnsi"/>
          <w:sz w:val="22"/>
          <w:szCs w:val="22"/>
        </w:rPr>
        <w:t xml:space="preserve">dboru dopravy a </w:t>
      </w:r>
      <w:proofErr w:type="spellStart"/>
      <w:r>
        <w:rPr>
          <w:rFonts w:asciiTheme="minorHAnsi" w:hAnsiTheme="minorHAnsi"/>
          <w:sz w:val="22"/>
          <w:szCs w:val="22"/>
        </w:rPr>
        <w:t>s.h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23FFFEAB" w:rsidR="00924795" w:rsidRPr="00FC0F87" w:rsidRDefault="00924795" w:rsidP="00FC0F87">
      <w:pPr>
        <w:spacing w:line="276" w:lineRule="auto"/>
        <w:jc w:val="center"/>
        <w:rPr>
          <w:rFonts w:asciiTheme="minorHAnsi" w:hAnsiTheme="minorHAnsi"/>
          <w:smallCaps/>
          <w:sz w:val="22"/>
          <w:szCs w:val="22"/>
        </w:rPr>
      </w:pPr>
      <w:r w:rsidRPr="00FC0F87">
        <w:rPr>
          <w:rFonts w:asciiTheme="minorHAnsi" w:hAnsiTheme="minorHAnsi"/>
          <w:smallCaps/>
          <w:sz w:val="22"/>
          <w:szCs w:val="22"/>
        </w:rPr>
        <w:t>Rozdělovník</w:t>
      </w:r>
    </w:p>
    <w:p w14:paraId="66569E33" w14:textId="77777777" w:rsidR="00FC0F87" w:rsidRPr="00FC0F87" w:rsidRDefault="00FC0F87" w:rsidP="00FC0F87">
      <w:pPr>
        <w:spacing w:line="276" w:lineRule="auto"/>
        <w:jc w:val="center"/>
        <w:rPr>
          <w:rFonts w:asciiTheme="minorHAnsi" w:hAnsiTheme="minorHAnsi"/>
          <w:sz w:val="22"/>
          <w:szCs w:val="22"/>
          <w:u w:val="single"/>
        </w:rPr>
      </w:pPr>
    </w:p>
    <w:p w14:paraId="2810DE91" w14:textId="7F0AF46C" w:rsidR="00A57E0E" w:rsidRPr="00461045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 w:rsidRPr="0046104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proofErr w:type="gramStart"/>
      <w:r w:rsidR="00A57E0E" w:rsidRPr="00461045">
        <w:rPr>
          <w:rFonts w:asciiTheme="minorHAnsi" w:hAnsiTheme="minorHAnsi"/>
          <w:sz w:val="22"/>
          <w:szCs w:val="22"/>
        </w:rPr>
        <w:t>M</w:t>
      </w:r>
      <w:r w:rsidR="00FC0F87" w:rsidRPr="00461045">
        <w:rPr>
          <w:rFonts w:asciiTheme="minorHAnsi" w:hAnsiTheme="minorHAnsi"/>
          <w:sz w:val="22"/>
          <w:szCs w:val="22"/>
        </w:rPr>
        <w:t>MHK</w:t>
      </w:r>
      <w:r w:rsidR="00A57E0E" w:rsidRPr="00461045">
        <w:rPr>
          <w:rFonts w:asciiTheme="minorHAnsi" w:hAnsiTheme="minorHAnsi"/>
          <w:sz w:val="22"/>
          <w:szCs w:val="22"/>
        </w:rPr>
        <w:t xml:space="preserve">  </w:t>
      </w:r>
      <w:r w:rsidR="00A36D07" w:rsidRPr="00461045">
        <w:rPr>
          <w:rFonts w:asciiTheme="minorHAnsi" w:hAnsiTheme="minorHAnsi"/>
          <w:sz w:val="22"/>
          <w:szCs w:val="22"/>
        </w:rPr>
        <w:t>-</w:t>
      </w:r>
      <w:proofErr w:type="gramEnd"/>
      <w:r w:rsidR="00A57E0E" w:rsidRPr="00461045">
        <w:rPr>
          <w:rFonts w:asciiTheme="minorHAnsi" w:hAnsiTheme="minorHAnsi"/>
          <w:sz w:val="22"/>
          <w:szCs w:val="22"/>
        </w:rPr>
        <w:t xml:space="preserve"> DS (spolu se spisem po </w:t>
      </w:r>
      <w:proofErr w:type="spellStart"/>
      <w:r w:rsidR="00A57E0E" w:rsidRPr="00461045">
        <w:rPr>
          <w:rFonts w:asciiTheme="minorHAnsi" w:hAnsiTheme="minorHAnsi"/>
          <w:sz w:val="22"/>
          <w:szCs w:val="22"/>
        </w:rPr>
        <w:t>p.m</w:t>
      </w:r>
      <w:proofErr w:type="spellEnd"/>
      <w:r w:rsidR="00A57E0E" w:rsidRPr="00461045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Pr="00461045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2/</w:t>
      </w:r>
      <w:r w:rsidRPr="00461045">
        <w:t xml:space="preserve"> </w:t>
      </w:r>
      <w:r w:rsidRPr="00461045">
        <w:rPr>
          <w:rFonts w:asciiTheme="minorHAnsi" w:hAnsiTheme="minorHAnsi" w:cstheme="minorHAnsi"/>
          <w:sz w:val="22"/>
          <w:szCs w:val="22"/>
        </w:rPr>
        <w:t xml:space="preserve">Správa železnic, státní organizace, se sídlem Dlážděná 1003/7, 110 00 Praha 1, oblastní ředitelství Hradec Králové, U </w:t>
      </w:r>
      <w:proofErr w:type="spellStart"/>
      <w:r w:rsidRPr="00461045">
        <w:rPr>
          <w:rFonts w:asciiTheme="minorHAnsi" w:hAnsiTheme="minorHAnsi" w:cstheme="minorHAnsi"/>
          <w:sz w:val="22"/>
          <w:szCs w:val="22"/>
        </w:rPr>
        <w:t>Fotochemy</w:t>
      </w:r>
      <w:proofErr w:type="spellEnd"/>
      <w:r w:rsidRPr="00461045">
        <w:rPr>
          <w:rFonts w:asciiTheme="minorHAnsi" w:hAnsiTheme="minorHAnsi" w:cstheme="minorHAnsi"/>
          <w:sz w:val="22"/>
          <w:szCs w:val="22"/>
        </w:rPr>
        <w:t xml:space="preserve"> 259, 501 01 Hradec </w:t>
      </w:r>
      <w:proofErr w:type="gramStart"/>
      <w:r w:rsidRPr="00461045">
        <w:rPr>
          <w:rFonts w:asciiTheme="minorHAnsi" w:hAnsiTheme="minorHAnsi" w:cstheme="minorHAnsi"/>
          <w:sz w:val="22"/>
          <w:szCs w:val="22"/>
        </w:rPr>
        <w:t>Králové</w:t>
      </w:r>
      <w:r w:rsidRPr="00461045"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4BA10610" w14:textId="60A8C409" w:rsidR="00FC0F87" w:rsidRPr="00461045" w:rsidRDefault="008632EA" w:rsidP="00A57E0E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61045">
        <w:rPr>
          <w:rFonts w:asciiTheme="minorHAnsi" w:hAnsiTheme="minorHAnsi"/>
          <w:sz w:val="22"/>
          <w:szCs w:val="22"/>
        </w:rPr>
        <w:t xml:space="preserve">3/ </w:t>
      </w:r>
      <w:r w:rsidR="00361921" w:rsidRPr="00461045">
        <w:rPr>
          <w:rFonts w:asciiTheme="minorHAnsi" w:hAnsiTheme="minorHAnsi"/>
          <w:sz w:val="22"/>
          <w:szCs w:val="22"/>
        </w:rPr>
        <w:t>Město Dobruška</w:t>
      </w:r>
      <w:r w:rsidR="00FC0F87" w:rsidRPr="0046104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DS</w:t>
      </w:r>
    </w:p>
    <w:p w14:paraId="1A402599" w14:textId="0D0A90E2" w:rsidR="008632EA" w:rsidRPr="00461045" w:rsidRDefault="009167B9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4</w:t>
      </w:r>
      <w:r w:rsidR="00A36D07" w:rsidRPr="00461045">
        <w:rPr>
          <w:rFonts w:asciiTheme="minorHAnsi" w:hAnsiTheme="minorHAnsi"/>
          <w:sz w:val="22"/>
          <w:szCs w:val="22"/>
        </w:rPr>
        <w:t>/</w:t>
      </w:r>
      <w:r w:rsidR="008632EA" w:rsidRPr="00461045">
        <w:t xml:space="preserve"> </w:t>
      </w:r>
      <w:r w:rsidR="008632EA" w:rsidRPr="00461045">
        <w:rPr>
          <w:rFonts w:asciiTheme="minorHAnsi" w:hAnsiTheme="minorHAnsi"/>
          <w:sz w:val="22"/>
          <w:szCs w:val="22"/>
        </w:rPr>
        <w:t xml:space="preserve">KŘ Police České republiky Královéhradeckého kraje, územní odbor </w:t>
      </w:r>
      <w:r w:rsidR="0037668D" w:rsidRPr="00461045">
        <w:rPr>
          <w:rFonts w:asciiTheme="minorHAnsi" w:hAnsiTheme="minorHAnsi"/>
          <w:sz w:val="22"/>
          <w:szCs w:val="22"/>
        </w:rPr>
        <w:t>Hradec Králové</w:t>
      </w:r>
      <w:r w:rsidR="008632EA" w:rsidRPr="00461045">
        <w:rPr>
          <w:rFonts w:asciiTheme="minorHAnsi" w:hAnsiTheme="minorHAnsi"/>
          <w:sz w:val="22"/>
          <w:szCs w:val="22"/>
        </w:rPr>
        <w:t>, dopravní inspektorát</w:t>
      </w:r>
      <w:r w:rsidR="0037668D" w:rsidRPr="00461045">
        <w:rPr>
          <w:rFonts w:asciiTheme="minorHAnsi" w:hAnsiTheme="minorHAnsi"/>
          <w:sz w:val="22"/>
          <w:szCs w:val="22"/>
        </w:rPr>
        <w:t xml:space="preserve"> </w:t>
      </w:r>
      <w:r w:rsidR="008632EA" w:rsidRPr="00461045">
        <w:rPr>
          <w:rFonts w:asciiTheme="minorHAnsi" w:hAnsiTheme="minorHAnsi"/>
          <w:sz w:val="22"/>
          <w:szCs w:val="22"/>
        </w:rPr>
        <w:t>– DS</w:t>
      </w:r>
    </w:p>
    <w:p w14:paraId="2A3720E4" w14:textId="5C7CAFF7" w:rsidR="00A36D07" w:rsidRPr="00FC0F87" w:rsidRDefault="009167B9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 w:rsidRPr="00461045">
        <w:rPr>
          <w:rFonts w:asciiTheme="minorHAnsi" w:hAnsiTheme="minorHAnsi"/>
          <w:sz w:val="22"/>
          <w:szCs w:val="22"/>
        </w:rPr>
        <w:t>5</w:t>
      </w:r>
      <w:r w:rsidR="00907C01" w:rsidRPr="00461045">
        <w:rPr>
          <w:rFonts w:asciiTheme="minorHAnsi" w:hAnsiTheme="minorHAnsi"/>
          <w:sz w:val="22"/>
          <w:szCs w:val="22"/>
        </w:rPr>
        <w:t>/</w:t>
      </w:r>
      <w:r w:rsidR="00A36D07" w:rsidRPr="00461045">
        <w:rPr>
          <w:rFonts w:asciiTheme="minorHAnsi" w:hAnsiTheme="minorHAnsi"/>
          <w:sz w:val="22"/>
          <w:szCs w:val="22"/>
        </w:rPr>
        <w:t xml:space="preserve"> Drážní </w:t>
      </w:r>
      <w:proofErr w:type="gramStart"/>
      <w:r w:rsidR="00A36D07" w:rsidRPr="00461045">
        <w:rPr>
          <w:rFonts w:asciiTheme="minorHAnsi" w:hAnsiTheme="minorHAnsi"/>
          <w:sz w:val="22"/>
          <w:szCs w:val="22"/>
        </w:rPr>
        <w:t>úřad - DS</w:t>
      </w:r>
      <w:proofErr w:type="gramEnd"/>
    </w:p>
    <w:sectPr w:rsidR="00A36D07" w:rsidRPr="00FC0F87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F598" w14:textId="77777777" w:rsidR="000D1A53" w:rsidRDefault="000D1A53">
      <w:r>
        <w:separator/>
      </w:r>
    </w:p>
  </w:endnote>
  <w:endnote w:type="continuationSeparator" w:id="0">
    <w:p w14:paraId="6B241175" w14:textId="77777777" w:rsidR="000D1A53" w:rsidRDefault="000D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1FBD92E0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</w:t>
    </w:r>
    <w:r w:rsidR="004749B2">
      <w:rPr>
        <w:rFonts w:ascii="Arial" w:hAnsi="Arial" w:cs="Arial"/>
        <w:color w:val="808080"/>
        <w:sz w:val="18"/>
        <w:szCs w:val="18"/>
      </w:rPr>
      <w:t>khk</w:t>
    </w:r>
    <w:r w:rsidRPr="00FD0F1A">
      <w:rPr>
        <w:rFonts w:ascii="Arial" w:hAnsi="Arial" w:cs="Arial"/>
        <w:color w:val="808080"/>
        <w:sz w:val="18"/>
        <w:szCs w:val="18"/>
      </w:rPr>
      <w:t>.cz</w:t>
    </w:r>
  </w:p>
  <w:p w14:paraId="60448E0E" w14:textId="70DC45B1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</w:t>
    </w:r>
    <w:r w:rsidR="004749B2">
      <w:rPr>
        <w:rFonts w:ascii="Arial" w:hAnsi="Arial" w:cs="Arial"/>
        <w:color w:val="808080"/>
        <w:sz w:val="18"/>
        <w:szCs w:val="18"/>
      </w:rPr>
      <w:t>khk</w:t>
    </w:r>
    <w:r w:rsidRPr="00FD0F1A">
      <w:rPr>
        <w:rFonts w:ascii="Arial" w:hAnsi="Arial" w:cs="Arial"/>
        <w:color w:val="808080"/>
        <w:sz w:val="18"/>
        <w:szCs w:val="18"/>
      </w:rPr>
      <w:t>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4962202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D737B38" w14:textId="50294DDB" w:rsidR="00727989" w:rsidRPr="00727989" w:rsidRDefault="00727989" w:rsidP="00727989">
            <w:pPr>
              <w:pStyle w:val="Zpat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727989">
              <w:rPr>
                <w:rFonts w:asciiTheme="minorHAnsi" w:hAnsiTheme="minorHAnsi"/>
                <w:sz w:val="22"/>
                <w:szCs w:val="22"/>
              </w:rPr>
              <w:t xml:space="preserve">Stránka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PAGE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Pr="00727989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Pr="00727989">
              <w:rPr>
                <w:rFonts w:asciiTheme="minorHAnsi" w:hAnsiTheme="minorHAnsi"/>
                <w:sz w:val="22"/>
                <w:szCs w:val="22"/>
              </w:rPr>
              <w:instrText>NUMPAGES</w:instrTex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Pr="00727989">
              <w:rPr>
                <w:rFonts w:asciiTheme="minorHAnsi" w:hAnsiTheme="minorHAnsi"/>
                <w:sz w:val="22"/>
                <w:szCs w:val="22"/>
              </w:rPr>
              <w:t>2</w:t>
            </w:r>
            <w:r w:rsidRPr="00727989"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sdtContent>
      </w:sdt>
    </w:sdtContent>
  </w:sdt>
  <w:p w14:paraId="529B1AEF" w14:textId="58A42D8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F4866" w14:textId="77777777" w:rsidR="000D1A53" w:rsidRDefault="000D1A53">
      <w:r>
        <w:separator/>
      </w:r>
    </w:p>
  </w:footnote>
  <w:footnote w:type="continuationSeparator" w:id="0">
    <w:p w14:paraId="2E48B1ED" w14:textId="77777777" w:rsidR="000D1A53" w:rsidRDefault="000D1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F5A95"/>
    <w:multiLevelType w:val="hybridMultilevel"/>
    <w:tmpl w:val="278456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67962"/>
    <w:multiLevelType w:val="hybridMultilevel"/>
    <w:tmpl w:val="C4C2C61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A7124"/>
    <w:rsid w:val="000A7893"/>
    <w:rsid w:val="000B11AE"/>
    <w:rsid w:val="000C15F8"/>
    <w:rsid w:val="000C2CB2"/>
    <w:rsid w:val="000D1A53"/>
    <w:rsid w:val="000D534D"/>
    <w:rsid w:val="000D70F5"/>
    <w:rsid w:val="000E549F"/>
    <w:rsid w:val="001051C4"/>
    <w:rsid w:val="001076BF"/>
    <w:rsid w:val="00114ACF"/>
    <w:rsid w:val="00115076"/>
    <w:rsid w:val="00134F71"/>
    <w:rsid w:val="001370CF"/>
    <w:rsid w:val="00145131"/>
    <w:rsid w:val="00154241"/>
    <w:rsid w:val="001553E9"/>
    <w:rsid w:val="001561DC"/>
    <w:rsid w:val="00156356"/>
    <w:rsid w:val="00157D8A"/>
    <w:rsid w:val="001644C6"/>
    <w:rsid w:val="00164844"/>
    <w:rsid w:val="0017530D"/>
    <w:rsid w:val="00175ED8"/>
    <w:rsid w:val="0017794C"/>
    <w:rsid w:val="00184393"/>
    <w:rsid w:val="00186AB1"/>
    <w:rsid w:val="001945C8"/>
    <w:rsid w:val="0019486B"/>
    <w:rsid w:val="00194B98"/>
    <w:rsid w:val="00195268"/>
    <w:rsid w:val="001A0582"/>
    <w:rsid w:val="001C117E"/>
    <w:rsid w:val="001C1795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05970"/>
    <w:rsid w:val="00212E47"/>
    <w:rsid w:val="00223D7D"/>
    <w:rsid w:val="0022622E"/>
    <w:rsid w:val="00226B47"/>
    <w:rsid w:val="00230DD4"/>
    <w:rsid w:val="002314CA"/>
    <w:rsid w:val="002366A7"/>
    <w:rsid w:val="00240C5C"/>
    <w:rsid w:val="00241D08"/>
    <w:rsid w:val="002430AD"/>
    <w:rsid w:val="00265E97"/>
    <w:rsid w:val="00286280"/>
    <w:rsid w:val="002905D7"/>
    <w:rsid w:val="002B2BDC"/>
    <w:rsid w:val="002B6D4D"/>
    <w:rsid w:val="002D0F08"/>
    <w:rsid w:val="002D22C9"/>
    <w:rsid w:val="002D5604"/>
    <w:rsid w:val="002D73D8"/>
    <w:rsid w:val="002D7A47"/>
    <w:rsid w:val="002E08E9"/>
    <w:rsid w:val="002E20CA"/>
    <w:rsid w:val="002F094E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61921"/>
    <w:rsid w:val="00370848"/>
    <w:rsid w:val="0037668D"/>
    <w:rsid w:val="00377483"/>
    <w:rsid w:val="00377A18"/>
    <w:rsid w:val="003849A5"/>
    <w:rsid w:val="00390E71"/>
    <w:rsid w:val="00397094"/>
    <w:rsid w:val="003A297B"/>
    <w:rsid w:val="003A616D"/>
    <w:rsid w:val="003C6D40"/>
    <w:rsid w:val="003E1973"/>
    <w:rsid w:val="003F74AF"/>
    <w:rsid w:val="00401ACF"/>
    <w:rsid w:val="0040521D"/>
    <w:rsid w:val="00406ECD"/>
    <w:rsid w:val="00411AD4"/>
    <w:rsid w:val="00424FAE"/>
    <w:rsid w:val="00425DA2"/>
    <w:rsid w:val="00450EB4"/>
    <w:rsid w:val="004520E3"/>
    <w:rsid w:val="004521BC"/>
    <w:rsid w:val="00461045"/>
    <w:rsid w:val="0046637C"/>
    <w:rsid w:val="004705CD"/>
    <w:rsid w:val="00473BFC"/>
    <w:rsid w:val="004749B2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D2BEE"/>
    <w:rsid w:val="005D5F6B"/>
    <w:rsid w:val="005D603A"/>
    <w:rsid w:val="005E0891"/>
    <w:rsid w:val="005E372E"/>
    <w:rsid w:val="005F3AFC"/>
    <w:rsid w:val="005F6F7E"/>
    <w:rsid w:val="00602976"/>
    <w:rsid w:val="00603FBC"/>
    <w:rsid w:val="00626433"/>
    <w:rsid w:val="00627F4E"/>
    <w:rsid w:val="00634A19"/>
    <w:rsid w:val="00640FFE"/>
    <w:rsid w:val="00647C77"/>
    <w:rsid w:val="006600FB"/>
    <w:rsid w:val="006652E3"/>
    <w:rsid w:val="006744A5"/>
    <w:rsid w:val="00683A50"/>
    <w:rsid w:val="00683C34"/>
    <w:rsid w:val="00693D63"/>
    <w:rsid w:val="006B440C"/>
    <w:rsid w:val="006B47C3"/>
    <w:rsid w:val="006B670C"/>
    <w:rsid w:val="006C13AF"/>
    <w:rsid w:val="006C5B4F"/>
    <w:rsid w:val="006D41D5"/>
    <w:rsid w:val="006E012F"/>
    <w:rsid w:val="006E3E12"/>
    <w:rsid w:val="006E767A"/>
    <w:rsid w:val="006E7E15"/>
    <w:rsid w:val="006F1692"/>
    <w:rsid w:val="006F382B"/>
    <w:rsid w:val="006F4A1D"/>
    <w:rsid w:val="00700541"/>
    <w:rsid w:val="00704033"/>
    <w:rsid w:val="0070658B"/>
    <w:rsid w:val="00706B0F"/>
    <w:rsid w:val="007077FA"/>
    <w:rsid w:val="00711DD4"/>
    <w:rsid w:val="00714FAE"/>
    <w:rsid w:val="007162F1"/>
    <w:rsid w:val="00724937"/>
    <w:rsid w:val="00724949"/>
    <w:rsid w:val="00727989"/>
    <w:rsid w:val="00733B00"/>
    <w:rsid w:val="0074007D"/>
    <w:rsid w:val="00741C0D"/>
    <w:rsid w:val="00741FFE"/>
    <w:rsid w:val="00744617"/>
    <w:rsid w:val="00745B94"/>
    <w:rsid w:val="007461E4"/>
    <w:rsid w:val="00751AC7"/>
    <w:rsid w:val="00752E56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7F71A9"/>
    <w:rsid w:val="008070DA"/>
    <w:rsid w:val="0081068C"/>
    <w:rsid w:val="00842E83"/>
    <w:rsid w:val="00842EC6"/>
    <w:rsid w:val="008437C4"/>
    <w:rsid w:val="0085631D"/>
    <w:rsid w:val="008579A0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6CD7"/>
    <w:rsid w:val="008B124E"/>
    <w:rsid w:val="008C1D5B"/>
    <w:rsid w:val="008C2646"/>
    <w:rsid w:val="008C44AC"/>
    <w:rsid w:val="008D02A4"/>
    <w:rsid w:val="008D3D13"/>
    <w:rsid w:val="008D47BC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7C01"/>
    <w:rsid w:val="00910581"/>
    <w:rsid w:val="00911D6C"/>
    <w:rsid w:val="009167B9"/>
    <w:rsid w:val="00917693"/>
    <w:rsid w:val="009179CA"/>
    <w:rsid w:val="00924795"/>
    <w:rsid w:val="00930EC4"/>
    <w:rsid w:val="00934092"/>
    <w:rsid w:val="00934E79"/>
    <w:rsid w:val="00941902"/>
    <w:rsid w:val="00947457"/>
    <w:rsid w:val="00950A80"/>
    <w:rsid w:val="00950A91"/>
    <w:rsid w:val="00951206"/>
    <w:rsid w:val="0095179D"/>
    <w:rsid w:val="00952F7D"/>
    <w:rsid w:val="00953483"/>
    <w:rsid w:val="00956FB5"/>
    <w:rsid w:val="009726E9"/>
    <w:rsid w:val="00974620"/>
    <w:rsid w:val="00981785"/>
    <w:rsid w:val="00984508"/>
    <w:rsid w:val="009A2A12"/>
    <w:rsid w:val="009A36B7"/>
    <w:rsid w:val="009B6326"/>
    <w:rsid w:val="009D2C91"/>
    <w:rsid w:val="009D37F6"/>
    <w:rsid w:val="009E32D6"/>
    <w:rsid w:val="00A0246E"/>
    <w:rsid w:val="00A064F5"/>
    <w:rsid w:val="00A06986"/>
    <w:rsid w:val="00A30B07"/>
    <w:rsid w:val="00A36D07"/>
    <w:rsid w:val="00A37A59"/>
    <w:rsid w:val="00A46E6F"/>
    <w:rsid w:val="00A47448"/>
    <w:rsid w:val="00A53A5E"/>
    <w:rsid w:val="00A55E56"/>
    <w:rsid w:val="00A57E0E"/>
    <w:rsid w:val="00A61589"/>
    <w:rsid w:val="00A65404"/>
    <w:rsid w:val="00A70943"/>
    <w:rsid w:val="00A819F7"/>
    <w:rsid w:val="00A872CB"/>
    <w:rsid w:val="00A87339"/>
    <w:rsid w:val="00A87EF9"/>
    <w:rsid w:val="00A90044"/>
    <w:rsid w:val="00AB16D1"/>
    <w:rsid w:val="00AB6285"/>
    <w:rsid w:val="00AB67BE"/>
    <w:rsid w:val="00AC72EE"/>
    <w:rsid w:val="00AD66A7"/>
    <w:rsid w:val="00AE0DAC"/>
    <w:rsid w:val="00AF3AC6"/>
    <w:rsid w:val="00B1637E"/>
    <w:rsid w:val="00B176F7"/>
    <w:rsid w:val="00B20CD0"/>
    <w:rsid w:val="00B2438F"/>
    <w:rsid w:val="00B32D40"/>
    <w:rsid w:val="00B34C40"/>
    <w:rsid w:val="00B424B1"/>
    <w:rsid w:val="00B42A7E"/>
    <w:rsid w:val="00B45096"/>
    <w:rsid w:val="00B57144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D3A5D"/>
    <w:rsid w:val="00BE1AD6"/>
    <w:rsid w:val="00BE75E0"/>
    <w:rsid w:val="00BF0D7F"/>
    <w:rsid w:val="00BF4A70"/>
    <w:rsid w:val="00C01EE1"/>
    <w:rsid w:val="00C07833"/>
    <w:rsid w:val="00C13FC5"/>
    <w:rsid w:val="00C174B6"/>
    <w:rsid w:val="00C233E0"/>
    <w:rsid w:val="00C31DA7"/>
    <w:rsid w:val="00C338BB"/>
    <w:rsid w:val="00C340EB"/>
    <w:rsid w:val="00C3509B"/>
    <w:rsid w:val="00C356EC"/>
    <w:rsid w:val="00C4003C"/>
    <w:rsid w:val="00C46379"/>
    <w:rsid w:val="00C51526"/>
    <w:rsid w:val="00C61A50"/>
    <w:rsid w:val="00C62DF0"/>
    <w:rsid w:val="00C70B84"/>
    <w:rsid w:val="00C71CDE"/>
    <w:rsid w:val="00C73479"/>
    <w:rsid w:val="00C77524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61F73"/>
    <w:rsid w:val="00D64FAE"/>
    <w:rsid w:val="00D657B1"/>
    <w:rsid w:val="00D70BD2"/>
    <w:rsid w:val="00D73D72"/>
    <w:rsid w:val="00D808A9"/>
    <w:rsid w:val="00D81683"/>
    <w:rsid w:val="00D8624F"/>
    <w:rsid w:val="00DA49AD"/>
    <w:rsid w:val="00DB6A1F"/>
    <w:rsid w:val="00DC5A5D"/>
    <w:rsid w:val="00DC6225"/>
    <w:rsid w:val="00DC7BCB"/>
    <w:rsid w:val="00DD26ED"/>
    <w:rsid w:val="00DD77C7"/>
    <w:rsid w:val="00DE209E"/>
    <w:rsid w:val="00DF0BAC"/>
    <w:rsid w:val="00DF5A1F"/>
    <w:rsid w:val="00DF73C2"/>
    <w:rsid w:val="00E01EAC"/>
    <w:rsid w:val="00E05BB9"/>
    <w:rsid w:val="00E07553"/>
    <w:rsid w:val="00E209ED"/>
    <w:rsid w:val="00E20C45"/>
    <w:rsid w:val="00E2553F"/>
    <w:rsid w:val="00E329DD"/>
    <w:rsid w:val="00E35AD7"/>
    <w:rsid w:val="00E41B87"/>
    <w:rsid w:val="00E541E1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05B50"/>
    <w:rsid w:val="00F12E47"/>
    <w:rsid w:val="00F155A6"/>
    <w:rsid w:val="00F21F85"/>
    <w:rsid w:val="00F2450D"/>
    <w:rsid w:val="00F25066"/>
    <w:rsid w:val="00F344D3"/>
    <w:rsid w:val="00F428F1"/>
    <w:rsid w:val="00F57FF1"/>
    <w:rsid w:val="00F70486"/>
    <w:rsid w:val="00F7294B"/>
    <w:rsid w:val="00F77947"/>
    <w:rsid w:val="00F83328"/>
    <w:rsid w:val="00F874FD"/>
    <w:rsid w:val="00F9430A"/>
    <w:rsid w:val="00F94A5F"/>
    <w:rsid w:val="00FA263E"/>
    <w:rsid w:val="00FB73D5"/>
    <w:rsid w:val="00FC0F87"/>
    <w:rsid w:val="00FC26AC"/>
    <w:rsid w:val="00FC59B6"/>
    <w:rsid w:val="00FC5BBE"/>
    <w:rsid w:val="00FC75B2"/>
    <w:rsid w:val="00FD6EC8"/>
    <w:rsid w:val="00FE031F"/>
    <w:rsid w:val="00FE1D06"/>
    <w:rsid w:val="00FE1FC0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uiPriority w:val="99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2024-11-08T09:40:00Z</cp:lastPrinted>
  <dcterms:created xsi:type="dcterms:W3CDTF">2024-11-28T09:08:00Z</dcterms:created>
  <dcterms:modified xsi:type="dcterms:W3CDTF">2024-11-28T09:08:00Z</dcterms:modified>
</cp:coreProperties>
</file>