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369" w:rsidRPr="00491C91" w:rsidRDefault="00755369" w:rsidP="00676B52">
      <w:pPr>
        <w:spacing w:after="0"/>
        <w:jc w:val="center"/>
        <w:rPr>
          <w:rFonts w:ascii="Calibri" w:hAnsi="Calibri"/>
          <w:sz w:val="26"/>
          <w:szCs w:val="26"/>
        </w:rPr>
      </w:pPr>
      <w:r w:rsidRPr="00491C91">
        <w:rPr>
          <w:rFonts w:ascii="Calibri" w:hAnsi="Calibri"/>
          <w:sz w:val="26"/>
          <w:szCs w:val="26"/>
        </w:rPr>
        <w:t>SMLOUVA</w:t>
      </w:r>
    </w:p>
    <w:p w:rsidR="00755369" w:rsidRDefault="00755369" w:rsidP="00755369">
      <w:pPr>
        <w:jc w:val="center"/>
        <w:rPr>
          <w:rFonts w:ascii="Calibri" w:hAnsi="Calibri"/>
          <w:sz w:val="26"/>
          <w:szCs w:val="26"/>
        </w:rPr>
      </w:pPr>
      <w:r w:rsidRPr="00491C91">
        <w:rPr>
          <w:rFonts w:ascii="Calibri" w:hAnsi="Calibri"/>
          <w:sz w:val="26"/>
          <w:szCs w:val="26"/>
        </w:rPr>
        <w:t>O POSKYTNUTÍ DOTACE Z ROZPOČTU KRÁLOVÉHRADECKÉHO KRAJE</w:t>
      </w:r>
    </w:p>
    <w:p w:rsidR="00EE0542" w:rsidRPr="00EE0542" w:rsidRDefault="00EE0542" w:rsidP="00755369">
      <w:pPr>
        <w:jc w:val="center"/>
        <w:rPr>
          <w:rFonts w:ascii="Calibri" w:hAnsi="Calibri"/>
          <w:sz w:val="18"/>
          <w:szCs w:val="18"/>
        </w:rPr>
      </w:pPr>
      <w:r>
        <w:rPr>
          <w:rFonts w:ascii="Calibri" w:hAnsi="Calibri"/>
          <w:sz w:val="18"/>
          <w:szCs w:val="18"/>
        </w:rPr>
        <w:t xml:space="preserve">Administrace finančních prostředků z MV ČR (14JPO01, 14JPO02) </w:t>
      </w:r>
    </w:p>
    <w:p w:rsidR="00755369" w:rsidRPr="00491C91" w:rsidRDefault="00755369" w:rsidP="00755369">
      <w:pPr>
        <w:pBdr>
          <w:bottom w:val="single" w:sz="4" w:space="1" w:color="auto"/>
        </w:pBdr>
        <w:jc w:val="right"/>
        <w:rPr>
          <w:rFonts w:ascii="Calibri" w:hAnsi="Calibri"/>
          <w:b/>
        </w:rPr>
      </w:pPr>
      <w:r w:rsidRPr="00491C91">
        <w:rPr>
          <w:rFonts w:ascii="Calibri" w:hAnsi="Calibri"/>
        </w:rPr>
        <w:t xml:space="preserve">Smlouva č.: </w:t>
      </w:r>
      <w:proofErr w:type="spellStart"/>
      <w:r w:rsidR="003D1290" w:rsidRPr="003634AA">
        <w:rPr>
          <w:rFonts w:ascii="Calibri" w:hAnsi="Calibri"/>
          <w:highlight w:val="yellow"/>
        </w:rPr>
        <w:t>xxxxxxxx</w:t>
      </w:r>
      <w:proofErr w:type="spellEnd"/>
    </w:p>
    <w:p w:rsidR="000072D6" w:rsidRDefault="00755369" w:rsidP="000072D6">
      <w:pPr>
        <w:jc w:val="both"/>
        <w:rPr>
          <w:rFonts w:ascii="Calibri" w:hAnsi="Calibri"/>
          <w:sz w:val="20"/>
          <w:szCs w:val="20"/>
        </w:rPr>
      </w:pPr>
      <w:r w:rsidRPr="00491C91">
        <w:rPr>
          <w:rFonts w:ascii="Calibri" w:hAnsi="Calibri"/>
          <w:sz w:val="20"/>
          <w:szCs w:val="20"/>
        </w:rPr>
        <w:t xml:space="preserve">kterou v souladu s ustanovením § 159 a </w:t>
      </w:r>
      <w:proofErr w:type="spellStart"/>
      <w:r w:rsidRPr="00491C91">
        <w:rPr>
          <w:rFonts w:ascii="Calibri" w:hAnsi="Calibri"/>
          <w:sz w:val="20"/>
          <w:szCs w:val="20"/>
        </w:rPr>
        <w:t>násl</w:t>
      </w:r>
      <w:proofErr w:type="spellEnd"/>
      <w:r w:rsidRPr="00491C91">
        <w:rPr>
          <w:rFonts w:ascii="Calibri" w:hAnsi="Calibri"/>
          <w:sz w:val="20"/>
          <w:szCs w:val="20"/>
        </w:rPr>
        <w:t>. zákona č. 500/2004 Sb., správní řád, ve znění pozdějších předpisů</w:t>
      </w:r>
      <w:r w:rsidR="00552634">
        <w:rPr>
          <w:rFonts w:ascii="Calibri" w:hAnsi="Calibri"/>
          <w:sz w:val="20"/>
          <w:szCs w:val="20"/>
        </w:rPr>
        <w:t>,</w:t>
      </w:r>
      <w:r w:rsidRPr="00491C91">
        <w:rPr>
          <w:rFonts w:ascii="Calibri" w:hAnsi="Calibri"/>
          <w:sz w:val="20"/>
          <w:szCs w:val="20"/>
        </w:rPr>
        <w:t xml:space="preserve"> </w:t>
      </w:r>
      <w:r w:rsidRPr="00491C91">
        <w:rPr>
          <w:rFonts w:ascii="Calibri" w:hAnsi="Calibri"/>
          <w:sz w:val="20"/>
          <w:szCs w:val="20"/>
        </w:rPr>
        <w:br/>
        <w:t xml:space="preserve">a v návaznosti na příslušná ustanovení zákona č. </w:t>
      </w:r>
      <w:r w:rsidR="002208BD">
        <w:rPr>
          <w:rFonts w:ascii="Calibri" w:hAnsi="Calibri"/>
          <w:sz w:val="20"/>
          <w:szCs w:val="20"/>
        </w:rPr>
        <w:t>89/2012</w:t>
      </w:r>
      <w:r w:rsidRPr="00491C91">
        <w:rPr>
          <w:rFonts w:ascii="Calibri" w:hAnsi="Calibri"/>
          <w:sz w:val="20"/>
          <w:szCs w:val="20"/>
        </w:rPr>
        <w:t xml:space="preserve"> Sb., občansk</w:t>
      </w:r>
      <w:r w:rsidR="002208BD">
        <w:rPr>
          <w:rFonts w:ascii="Calibri" w:hAnsi="Calibri"/>
          <w:sz w:val="20"/>
          <w:szCs w:val="20"/>
        </w:rPr>
        <w:t>ý</w:t>
      </w:r>
      <w:r w:rsidRPr="00491C91">
        <w:rPr>
          <w:rFonts w:ascii="Calibri" w:hAnsi="Calibri"/>
          <w:sz w:val="20"/>
          <w:szCs w:val="20"/>
        </w:rPr>
        <w:t xml:space="preserve"> zákoník, uzavřely tyto smluvní strany:</w:t>
      </w:r>
    </w:p>
    <w:p w:rsidR="00755369" w:rsidRPr="00491C91" w:rsidRDefault="00755369" w:rsidP="00755369">
      <w:pPr>
        <w:jc w:val="center"/>
        <w:rPr>
          <w:rFonts w:ascii="Calibri" w:hAnsi="Calibri"/>
          <w:b/>
          <w:bCs/>
          <w:sz w:val="20"/>
          <w:szCs w:val="20"/>
        </w:rPr>
      </w:pPr>
      <w:r w:rsidRPr="00491C91">
        <w:rPr>
          <w:rFonts w:ascii="Calibri" w:hAnsi="Calibri"/>
          <w:b/>
          <w:bCs/>
          <w:sz w:val="20"/>
          <w:szCs w:val="20"/>
        </w:rPr>
        <w:t>Královéhradecký kraj</w:t>
      </w:r>
    </w:p>
    <w:tbl>
      <w:tblPr>
        <w:tblW w:w="0" w:type="auto"/>
        <w:tblCellMar>
          <w:left w:w="70" w:type="dxa"/>
          <w:right w:w="70" w:type="dxa"/>
        </w:tblCellMar>
        <w:tblLook w:val="0000"/>
      </w:tblPr>
      <w:tblGrid>
        <w:gridCol w:w="4606"/>
        <w:gridCol w:w="4606"/>
      </w:tblGrid>
      <w:tr w:rsidR="00755369" w:rsidRPr="00491C91" w:rsidTr="00552634">
        <w:trPr>
          <w:trHeight w:val="416"/>
        </w:trPr>
        <w:tc>
          <w:tcPr>
            <w:tcW w:w="4606" w:type="dxa"/>
            <w:tcBorders>
              <w:top w:val="nil"/>
              <w:left w:val="nil"/>
              <w:bottom w:val="nil"/>
              <w:right w:val="nil"/>
            </w:tcBorders>
          </w:tcPr>
          <w:p w:rsidR="00755369" w:rsidRPr="00491C91" w:rsidRDefault="00755369" w:rsidP="00552634">
            <w:pPr>
              <w:rPr>
                <w:rFonts w:ascii="Calibri" w:hAnsi="Calibri"/>
                <w:sz w:val="20"/>
                <w:szCs w:val="20"/>
              </w:rPr>
            </w:pPr>
            <w:r w:rsidRPr="00491C91">
              <w:rPr>
                <w:rFonts w:ascii="Calibri" w:hAnsi="Calibri"/>
                <w:sz w:val="20"/>
                <w:szCs w:val="20"/>
              </w:rPr>
              <w:t>se sídlem:</w:t>
            </w:r>
          </w:p>
        </w:tc>
        <w:tc>
          <w:tcPr>
            <w:tcW w:w="4606" w:type="dxa"/>
            <w:tcBorders>
              <w:top w:val="nil"/>
              <w:left w:val="nil"/>
              <w:bottom w:val="nil"/>
              <w:right w:val="nil"/>
            </w:tcBorders>
          </w:tcPr>
          <w:p w:rsidR="00755369" w:rsidRPr="00491C91" w:rsidRDefault="00755369" w:rsidP="00552634">
            <w:pPr>
              <w:rPr>
                <w:rFonts w:ascii="Calibri" w:hAnsi="Calibri"/>
                <w:sz w:val="20"/>
                <w:szCs w:val="20"/>
              </w:rPr>
            </w:pPr>
            <w:r w:rsidRPr="00491C91">
              <w:rPr>
                <w:rFonts w:ascii="Calibri" w:hAnsi="Calibri"/>
                <w:sz w:val="20"/>
                <w:szCs w:val="20"/>
              </w:rPr>
              <w:t>Pivovarské náměstí 1245, 500 03 Hradec Králové</w:t>
            </w:r>
          </w:p>
        </w:tc>
      </w:tr>
      <w:tr w:rsidR="00755369" w:rsidRPr="00491C91" w:rsidTr="00552634">
        <w:trPr>
          <w:trHeight w:val="355"/>
        </w:trPr>
        <w:tc>
          <w:tcPr>
            <w:tcW w:w="4606" w:type="dxa"/>
            <w:tcBorders>
              <w:top w:val="nil"/>
              <w:left w:val="nil"/>
              <w:bottom w:val="nil"/>
              <w:right w:val="nil"/>
            </w:tcBorders>
          </w:tcPr>
          <w:p w:rsidR="00755369" w:rsidRPr="00491C91" w:rsidRDefault="00755369" w:rsidP="00B36A35">
            <w:pPr>
              <w:rPr>
                <w:rFonts w:ascii="Calibri" w:hAnsi="Calibri"/>
                <w:sz w:val="20"/>
                <w:szCs w:val="20"/>
              </w:rPr>
            </w:pPr>
            <w:r w:rsidRPr="00491C91">
              <w:rPr>
                <w:rFonts w:ascii="Calibri" w:hAnsi="Calibri"/>
                <w:sz w:val="20"/>
                <w:szCs w:val="20"/>
              </w:rPr>
              <w:t>zástupce:</w:t>
            </w:r>
          </w:p>
        </w:tc>
        <w:tc>
          <w:tcPr>
            <w:tcW w:w="4606" w:type="dxa"/>
            <w:tcBorders>
              <w:top w:val="nil"/>
              <w:left w:val="nil"/>
              <w:bottom w:val="nil"/>
              <w:right w:val="nil"/>
            </w:tcBorders>
          </w:tcPr>
          <w:p w:rsidR="00755369" w:rsidRPr="00491C91" w:rsidRDefault="003D1290" w:rsidP="00552634">
            <w:pPr>
              <w:rPr>
                <w:rFonts w:ascii="Calibri" w:hAnsi="Calibri"/>
                <w:sz w:val="20"/>
                <w:szCs w:val="20"/>
              </w:rPr>
            </w:pPr>
            <w:proofErr w:type="spellStart"/>
            <w:r w:rsidRPr="00EE0542">
              <w:rPr>
                <w:rFonts w:ascii="Calibri" w:hAnsi="Calibri"/>
                <w:sz w:val="20"/>
                <w:szCs w:val="20"/>
                <w:highlight w:val="yellow"/>
              </w:rPr>
              <w:t>xxxxxxxx</w:t>
            </w:r>
            <w:proofErr w:type="spellEnd"/>
          </w:p>
        </w:tc>
      </w:tr>
      <w:tr w:rsidR="00755369" w:rsidRPr="00491C91" w:rsidTr="00552634">
        <w:trPr>
          <w:trHeight w:val="380"/>
        </w:trPr>
        <w:tc>
          <w:tcPr>
            <w:tcW w:w="4606" w:type="dxa"/>
            <w:tcBorders>
              <w:top w:val="nil"/>
              <w:left w:val="nil"/>
              <w:bottom w:val="nil"/>
              <w:right w:val="nil"/>
            </w:tcBorders>
          </w:tcPr>
          <w:p w:rsidR="00755369" w:rsidRPr="00491C91" w:rsidRDefault="00755369" w:rsidP="00552634">
            <w:pPr>
              <w:rPr>
                <w:rFonts w:ascii="Calibri" w:hAnsi="Calibri"/>
                <w:sz w:val="20"/>
                <w:szCs w:val="20"/>
              </w:rPr>
            </w:pPr>
            <w:r w:rsidRPr="00491C91">
              <w:rPr>
                <w:rFonts w:ascii="Calibri" w:hAnsi="Calibri"/>
                <w:sz w:val="20"/>
                <w:szCs w:val="20"/>
              </w:rPr>
              <w:t>IČ</w:t>
            </w:r>
            <w:r w:rsidR="00AE44BC">
              <w:rPr>
                <w:rFonts w:ascii="Calibri" w:hAnsi="Calibri"/>
                <w:sz w:val="20"/>
                <w:szCs w:val="20"/>
              </w:rPr>
              <w:t>O</w:t>
            </w:r>
            <w:r w:rsidRPr="00491C91">
              <w:rPr>
                <w:rFonts w:ascii="Calibri" w:hAnsi="Calibri"/>
                <w:sz w:val="20"/>
                <w:szCs w:val="20"/>
              </w:rPr>
              <w:t>:</w:t>
            </w:r>
          </w:p>
          <w:p w:rsidR="00755369" w:rsidRPr="00491C91" w:rsidRDefault="00755369" w:rsidP="00552634">
            <w:pPr>
              <w:rPr>
                <w:rFonts w:ascii="Calibri" w:hAnsi="Calibri"/>
                <w:sz w:val="20"/>
                <w:szCs w:val="20"/>
              </w:rPr>
            </w:pPr>
            <w:r w:rsidRPr="00491C91">
              <w:rPr>
                <w:rFonts w:ascii="Calibri" w:hAnsi="Calibri"/>
                <w:sz w:val="20"/>
                <w:szCs w:val="20"/>
              </w:rPr>
              <w:t>DIČ:</w:t>
            </w:r>
          </w:p>
        </w:tc>
        <w:tc>
          <w:tcPr>
            <w:tcW w:w="4606" w:type="dxa"/>
            <w:tcBorders>
              <w:top w:val="nil"/>
              <w:left w:val="nil"/>
              <w:bottom w:val="nil"/>
              <w:right w:val="nil"/>
            </w:tcBorders>
          </w:tcPr>
          <w:p w:rsidR="00755369" w:rsidRPr="00491C91" w:rsidRDefault="00755369" w:rsidP="00552634">
            <w:pPr>
              <w:rPr>
                <w:rFonts w:ascii="Calibri" w:hAnsi="Calibri"/>
                <w:sz w:val="20"/>
                <w:szCs w:val="20"/>
              </w:rPr>
            </w:pPr>
            <w:r w:rsidRPr="00491C91">
              <w:rPr>
                <w:rFonts w:ascii="Calibri" w:hAnsi="Calibri"/>
                <w:sz w:val="20"/>
                <w:szCs w:val="20"/>
              </w:rPr>
              <w:t>70889546</w:t>
            </w:r>
          </w:p>
          <w:p w:rsidR="00755369" w:rsidRPr="00491C91" w:rsidRDefault="00755369" w:rsidP="00552634">
            <w:pPr>
              <w:rPr>
                <w:rFonts w:ascii="Calibri" w:hAnsi="Calibri"/>
                <w:sz w:val="20"/>
                <w:szCs w:val="20"/>
              </w:rPr>
            </w:pPr>
            <w:r w:rsidRPr="00491C91">
              <w:rPr>
                <w:rFonts w:ascii="Calibri" w:hAnsi="Calibri"/>
                <w:sz w:val="20"/>
                <w:szCs w:val="20"/>
              </w:rPr>
              <w:t>CZ70889546</w:t>
            </w:r>
          </w:p>
        </w:tc>
      </w:tr>
      <w:tr w:rsidR="00755369" w:rsidRPr="00491C91" w:rsidTr="00552634">
        <w:trPr>
          <w:trHeight w:val="348"/>
        </w:trPr>
        <w:tc>
          <w:tcPr>
            <w:tcW w:w="4606" w:type="dxa"/>
            <w:tcBorders>
              <w:top w:val="nil"/>
              <w:left w:val="nil"/>
              <w:bottom w:val="nil"/>
              <w:right w:val="nil"/>
            </w:tcBorders>
          </w:tcPr>
          <w:p w:rsidR="00755369" w:rsidRPr="00491C91" w:rsidRDefault="00755369" w:rsidP="00552634">
            <w:pPr>
              <w:rPr>
                <w:rFonts w:ascii="Calibri" w:hAnsi="Calibri"/>
                <w:sz w:val="20"/>
                <w:szCs w:val="20"/>
              </w:rPr>
            </w:pPr>
            <w:r w:rsidRPr="00491C91">
              <w:rPr>
                <w:rFonts w:ascii="Calibri" w:hAnsi="Calibri"/>
                <w:sz w:val="20"/>
                <w:szCs w:val="20"/>
              </w:rPr>
              <w:t>bankovní spojení:</w:t>
            </w:r>
          </w:p>
        </w:tc>
        <w:tc>
          <w:tcPr>
            <w:tcW w:w="4606" w:type="dxa"/>
            <w:tcBorders>
              <w:top w:val="nil"/>
              <w:left w:val="nil"/>
              <w:bottom w:val="nil"/>
              <w:right w:val="nil"/>
            </w:tcBorders>
          </w:tcPr>
          <w:p w:rsidR="00755369" w:rsidRPr="00491C91" w:rsidRDefault="00755369" w:rsidP="00552634">
            <w:pPr>
              <w:rPr>
                <w:rFonts w:ascii="Calibri" w:hAnsi="Calibri"/>
                <w:sz w:val="20"/>
                <w:szCs w:val="20"/>
              </w:rPr>
            </w:pPr>
            <w:r w:rsidRPr="00491C91">
              <w:rPr>
                <w:rFonts w:ascii="Calibri" w:hAnsi="Calibri"/>
                <w:sz w:val="20"/>
                <w:szCs w:val="20"/>
              </w:rPr>
              <w:t>Komerční banka Hradec Králové</w:t>
            </w:r>
          </w:p>
        </w:tc>
      </w:tr>
      <w:tr w:rsidR="00755369" w:rsidRPr="00491C91" w:rsidTr="00552634">
        <w:trPr>
          <w:trHeight w:val="358"/>
        </w:trPr>
        <w:tc>
          <w:tcPr>
            <w:tcW w:w="4606" w:type="dxa"/>
            <w:tcBorders>
              <w:top w:val="nil"/>
              <w:left w:val="nil"/>
              <w:bottom w:val="nil"/>
              <w:right w:val="nil"/>
            </w:tcBorders>
          </w:tcPr>
          <w:p w:rsidR="00755369" w:rsidRPr="00491C91" w:rsidRDefault="00755369" w:rsidP="00552634">
            <w:pPr>
              <w:rPr>
                <w:rFonts w:ascii="Calibri" w:hAnsi="Calibri"/>
                <w:sz w:val="20"/>
                <w:szCs w:val="20"/>
              </w:rPr>
            </w:pPr>
            <w:r w:rsidRPr="00491C91">
              <w:rPr>
                <w:rFonts w:ascii="Calibri" w:hAnsi="Calibri"/>
                <w:sz w:val="20"/>
                <w:szCs w:val="20"/>
              </w:rPr>
              <w:t>č. účtu:</w:t>
            </w:r>
            <w:r w:rsidRPr="00491C91">
              <w:rPr>
                <w:rFonts w:ascii="Calibri" w:hAnsi="Calibri"/>
                <w:sz w:val="20"/>
                <w:szCs w:val="20"/>
              </w:rPr>
              <w:tab/>
            </w:r>
          </w:p>
        </w:tc>
        <w:tc>
          <w:tcPr>
            <w:tcW w:w="4606" w:type="dxa"/>
            <w:tcBorders>
              <w:top w:val="nil"/>
              <w:left w:val="nil"/>
              <w:bottom w:val="nil"/>
              <w:right w:val="nil"/>
            </w:tcBorders>
          </w:tcPr>
          <w:p w:rsidR="00755369" w:rsidRPr="00491C91" w:rsidRDefault="00755369" w:rsidP="00552634">
            <w:pPr>
              <w:rPr>
                <w:rFonts w:asciiTheme="minorHAnsi" w:hAnsiTheme="minorHAnsi"/>
                <w:sz w:val="20"/>
                <w:szCs w:val="20"/>
              </w:rPr>
            </w:pPr>
            <w:r w:rsidRPr="00491C91">
              <w:rPr>
                <w:rFonts w:asciiTheme="minorHAnsi" w:hAnsiTheme="minorHAnsi"/>
                <w:sz w:val="20"/>
                <w:szCs w:val="20"/>
              </w:rPr>
              <w:t>78-7544530247/0100</w:t>
            </w:r>
          </w:p>
        </w:tc>
      </w:tr>
    </w:tbl>
    <w:p w:rsidR="00755369" w:rsidRPr="00491C91" w:rsidRDefault="00755369" w:rsidP="00755369">
      <w:pPr>
        <w:rPr>
          <w:rFonts w:ascii="Calibri" w:hAnsi="Calibri"/>
          <w:i/>
          <w:sz w:val="20"/>
          <w:szCs w:val="20"/>
        </w:rPr>
      </w:pPr>
      <w:r w:rsidRPr="00491C91">
        <w:t xml:space="preserve"> </w:t>
      </w:r>
      <w:r w:rsidRPr="00491C91">
        <w:rPr>
          <w:rFonts w:ascii="Calibri" w:hAnsi="Calibri"/>
          <w:i/>
          <w:sz w:val="20"/>
          <w:szCs w:val="20"/>
        </w:rPr>
        <w:t xml:space="preserve">(dále </w:t>
      </w:r>
      <w:r w:rsidR="00AE44BC">
        <w:rPr>
          <w:rFonts w:ascii="Calibri" w:hAnsi="Calibri"/>
          <w:i/>
          <w:sz w:val="20"/>
          <w:szCs w:val="20"/>
        </w:rPr>
        <w:t>jen</w:t>
      </w:r>
      <w:r w:rsidR="00AE44BC" w:rsidRPr="00491C91">
        <w:rPr>
          <w:rFonts w:ascii="Calibri" w:hAnsi="Calibri"/>
          <w:i/>
          <w:sz w:val="20"/>
          <w:szCs w:val="20"/>
        </w:rPr>
        <w:t xml:space="preserve"> </w:t>
      </w:r>
      <w:r w:rsidRPr="00491C91">
        <w:rPr>
          <w:rFonts w:ascii="Calibri" w:hAnsi="Calibri"/>
          <w:i/>
          <w:sz w:val="20"/>
          <w:szCs w:val="20"/>
        </w:rPr>
        <w:t>„poskytovatel“)</w:t>
      </w:r>
    </w:p>
    <w:p w:rsidR="00755369" w:rsidRPr="00491C91" w:rsidRDefault="00755369" w:rsidP="00755369">
      <w:pPr>
        <w:jc w:val="center"/>
        <w:rPr>
          <w:rFonts w:ascii="Calibri" w:hAnsi="Calibri"/>
          <w:b/>
          <w:bCs/>
          <w:sz w:val="20"/>
          <w:szCs w:val="20"/>
        </w:rPr>
      </w:pPr>
      <w:r w:rsidRPr="00491C91">
        <w:rPr>
          <w:rFonts w:ascii="Calibri" w:hAnsi="Calibri"/>
          <w:b/>
          <w:bCs/>
          <w:sz w:val="20"/>
          <w:szCs w:val="20"/>
        </w:rPr>
        <w:t>a</w:t>
      </w:r>
    </w:p>
    <w:p w:rsidR="00755369" w:rsidRPr="00491C91" w:rsidRDefault="00755369" w:rsidP="00755369">
      <w:pPr>
        <w:jc w:val="center"/>
        <w:rPr>
          <w:rFonts w:ascii="Calibri" w:hAnsi="Calibri"/>
          <w:b/>
          <w:bCs/>
          <w:sz w:val="20"/>
          <w:szCs w:val="20"/>
        </w:rPr>
      </w:pPr>
    </w:p>
    <w:p w:rsidR="00755369" w:rsidRPr="00EE0542" w:rsidRDefault="004C5007" w:rsidP="00755369">
      <w:pPr>
        <w:jc w:val="center"/>
        <w:rPr>
          <w:rFonts w:ascii="Calibri" w:hAnsi="Calibri"/>
          <w:b/>
          <w:bCs/>
          <w:sz w:val="20"/>
          <w:szCs w:val="20"/>
          <w:highlight w:val="yellow"/>
        </w:rPr>
      </w:pPr>
      <w:proofErr w:type="spellStart"/>
      <w:r>
        <w:rPr>
          <w:rFonts w:ascii="Calibri" w:hAnsi="Calibri"/>
          <w:b/>
          <w:bCs/>
          <w:sz w:val="20"/>
          <w:szCs w:val="20"/>
          <w:highlight w:val="yellow"/>
        </w:rPr>
        <w:t>xxxx</w:t>
      </w:r>
      <w:proofErr w:type="spellEnd"/>
    </w:p>
    <w:tbl>
      <w:tblPr>
        <w:tblW w:w="0" w:type="auto"/>
        <w:tblCellMar>
          <w:left w:w="70" w:type="dxa"/>
          <w:right w:w="70" w:type="dxa"/>
        </w:tblCellMar>
        <w:tblLook w:val="0000"/>
      </w:tblPr>
      <w:tblGrid>
        <w:gridCol w:w="4606"/>
        <w:gridCol w:w="4606"/>
      </w:tblGrid>
      <w:tr w:rsidR="00755369" w:rsidRPr="00EE0542" w:rsidTr="00552634">
        <w:trPr>
          <w:trHeight w:val="401"/>
        </w:trPr>
        <w:tc>
          <w:tcPr>
            <w:tcW w:w="4606" w:type="dxa"/>
            <w:tcBorders>
              <w:top w:val="nil"/>
              <w:left w:val="nil"/>
              <w:bottom w:val="nil"/>
              <w:right w:val="nil"/>
            </w:tcBorders>
          </w:tcPr>
          <w:p w:rsidR="00755369" w:rsidRPr="00EE0542" w:rsidRDefault="00755369" w:rsidP="00552634">
            <w:pPr>
              <w:rPr>
                <w:rFonts w:ascii="Calibri" w:hAnsi="Calibri"/>
                <w:sz w:val="20"/>
                <w:szCs w:val="20"/>
                <w:highlight w:val="yellow"/>
              </w:rPr>
            </w:pPr>
            <w:r w:rsidRPr="00EE0542">
              <w:rPr>
                <w:rFonts w:ascii="Calibri" w:hAnsi="Calibri"/>
                <w:sz w:val="20"/>
                <w:szCs w:val="20"/>
                <w:highlight w:val="yellow"/>
              </w:rPr>
              <w:t>se sídlem:</w:t>
            </w:r>
          </w:p>
        </w:tc>
        <w:tc>
          <w:tcPr>
            <w:tcW w:w="4606" w:type="dxa"/>
            <w:tcBorders>
              <w:top w:val="nil"/>
              <w:left w:val="nil"/>
              <w:bottom w:val="nil"/>
              <w:right w:val="nil"/>
            </w:tcBorders>
          </w:tcPr>
          <w:p w:rsidR="00755369" w:rsidRPr="00EE0542" w:rsidRDefault="004C5007" w:rsidP="00552634">
            <w:pPr>
              <w:rPr>
                <w:rFonts w:ascii="Calibri" w:hAnsi="Calibri"/>
                <w:sz w:val="20"/>
                <w:szCs w:val="20"/>
                <w:highlight w:val="yellow"/>
              </w:rPr>
            </w:pPr>
            <w:proofErr w:type="spellStart"/>
            <w:r>
              <w:rPr>
                <w:rFonts w:ascii="Calibri" w:hAnsi="Calibri"/>
                <w:sz w:val="20"/>
                <w:szCs w:val="20"/>
                <w:highlight w:val="yellow"/>
              </w:rPr>
              <w:t>xxxx</w:t>
            </w:r>
            <w:proofErr w:type="spellEnd"/>
          </w:p>
        </w:tc>
      </w:tr>
      <w:tr w:rsidR="00755369" w:rsidRPr="00EE0542" w:rsidTr="00552634">
        <w:trPr>
          <w:trHeight w:val="370"/>
        </w:trPr>
        <w:tc>
          <w:tcPr>
            <w:tcW w:w="4606" w:type="dxa"/>
            <w:tcBorders>
              <w:top w:val="nil"/>
              <w:left w:val="nil"/>
              <w:bottom w:val="nil"/>
              <w:right w:val="nil"/>
            </w:tcBorders>
          </w:tcPr>
          <w:p w:rsidR="00755369" w:rsidRPr="00EE0542" w:rsidRDefault="00755369" w:rsidP="00B36A35">
            <w:pPr>
              <w:rPr>
                <w:rFonts w:ascii="Calibri" w:hAnsi="Calibri"/>
                <w:sz w:val="20"/>
                <w:szCs w:val="20"/>
                <w:highlight w:val="yellow"/>
              </w:rPr>
            </w:pPr>
            <w:r w:rsidRPr="00EE0542">
              <w:rPr>
                <w:rFonts w:ascii="Calibri" w:hAnsi="Calibri"/>
                <w:sz w:val="20"/>
                <w:szCs w:val="20"/>
                <w:highlight w:val="yellow"/>
              </w:rPr>
              <w:t>zástupce:</w:t>
            </w:r>
          </w:p>
        </w:tc>
        <w:tc>
          <w:tcPr>
            <w:tcW w:w="4606" w:type="dxa"/>
            <w:tcBorders>
              <w:top w:val="nil"/>
              <w:left w:val="nil"/>
              <w:bottom w:val="nil"/>
              <w:right w:val="nil"/>
            </w:tcBorders>
          </w:tcPr>
          <w:p w:rsidR="00755369" w:rsidRPr="00EE0542" w:rsidRDefault="004C5007" w:rsidP="00552634">
            <w:pPr>
              <w:rPr>
                <w:rFonts w:asciiTheme="minorHAnsi" w:hAnsiTheme="minorHAnsi"/>
                <w:sz w:val="20"/>
                <w:szCs w:val="20"/>
                <w:highlight w:val="yellow"/>
              </w:rPr>
            </w:pPr>
            <w:proofErr w:type="spellStart"/>
            <w:r>
              <w:rPr>
                <w:rFonts w:asciiTheme="minorHAnsi" w:hAnsiTheme="minorHAnsi"/>
                <w:sz w:val="20"/>
                <w:szCs w:val="20"/>
                <w:highlight w:val="yellow"/>
              </w:rPr>
              <w:t>xxxx</w:t>
            </w:r>
            <w:proofErr w:type="spellEnd"/>
          </w:p>
        </w:tc>
      </w:tr>
      <w:tr w:rsidR="00755369" w:rsidRPr="00EE0542" w:rsidTr="00552634">
        <w:trPr>
          <w:trHeight w:val="352"/>
        </w:trPr>
        <w:tc>
          <w:tcPr>
            <w:tcW w:w="4606" w:type="dxa"/>
            <w:tcBorders>
              <w:top w:val="nil"/>
              <w:left w:val="nil"/>
              <w:bottom w:val="nil"/>
              <w:right w:val="nil"/>
            </w:tcBorders>
          </w:tcPr>
          <w:p w:rsidR="00755369" w:rsidRPr="00EE0542" w:rsidRDefault="00755369" w:rsidP="00552634">
            <w:pPr>
              <w:rPr>
                <w:rFonts w:asciiTheme="minorHAnsi" w:hAnsiTheme="minorHAnsi"/>
                <w:sz w:val="20"/>
                <w:szCs w:val="20"/>
                <w:highlight w:val="yellow"/>
              </w:rPr>
            </w:pPr>
            <w:r w:rsidRPr="00EE0542">
              <w:rPr>
                <w:rFonts w:asciiTheme="minorHAnsi" w:hAnsiTheme="minorHAnsi"/>
                <w:sz w:val="20"/>
                <w:szCs w:val="20"/>
                <w:highlight w:val="yellow"/>
              </w:rPr>
              <w:t>IČ</w:t>
            </w:r>
            <w:r w:rsidR="00AE44BC" w:rsidRPr="00EE0542">
              <w:rPr>
                <w:rFonts w:asciiTheme="minorHAnsi" w:hAnsiTheme="minorHAnsi"/>
                <w:sz w:val="20"/>
                <w:szCs w:val="20"/>
                <w:highlight w:val="yellow"/>
              </w:rPr>
              <w:t>O</w:t>
            </w:r>
            <w:r w:rsidRPr="00EE0542">
              <w:rPr>
                <w:rFonts w:asciiTheme="minorHAnsi" w:hAnsiTheme="minorHAnsi"/>
                <w:sz w:val="20"/>
                <w:szCs w:val="20"/>
                <w:highlight w:val="yellow"/>
              </w:rPr>
              <w:t>:</w:t>
            </w:r>
          </w:p>
        </w:tc>
        <w:tc>
          <w:tcPr>
            <w:tcW w:w="4606" w:type="dxa"/>
            <w:tcBorders>
              <w:top w:val="nil"/>
              <w:left w:val="nil"/>
              <w:bottom w:val="nil"/>
              <w:right w:val="nil"/>
            </w:tcBorders>
          </w:tcPr>
          <w:p w:rsidR="00755369" w:rsidRPr="00EE0542" w:rsidRDefault="004C5007" w:rsidP="00552634">
            <w:pPr>
              <w:rPr>
                <w:rFonts w:asciiTheme="minorHAnsi" w:hAnsiTheme="minorHAnsi"/>
                <w:sz w:val="20"/>
                <w:szCs w:val="20"/>
                <w:highlight w:val="yellow"/>
              </w:rPr>
            </w:pPr>
            <w:proofErr w:type="spellStart"/>
            <w:r>
              <w:rPr>
                <w:rFonts w:asciiTheme="minorHAnsi" w:hAnsiTheme="minorHAnsi"/>
                <w:sz w:val="20"/>
                <w:szCs w:val="20"/>
                <w:highlight w:val="yellow"/>
              </w:rPr>
              <w:t>xxxx</w:t>
            </w:r>
            <w:proofErr w:type="spellEnd"/>
          </w:p>
        </w:tc>
      </w:tr>
      <w:tr w:rsidR="00755369" w:rsidRPr="00EE0542" w:rsidTr="00552634">
        <w:trPr>
          <w:trHeight w:val="352"/>
        </w:trPr>
        <w:tc>
          <w:tcPr>
            <w:tcW w:w="4606" w:type="dxa"/>
            <w:tcBorders>
              <w:top w:val="nil"/>
              <w:left w:val="nil"/>
              <w:bottom w:val="nil"/>
              <w:right w:val="nil"/>
            </w:tcBorders>
          </w:tcPr>
          <w:p w:rsidR="00755369" w:rsidRPr="00EE0542" w:rsidRDefault="00755369" w:rsidP="00552634">
            <w:pPr>
              <w:rPr>
                <w:rFonts w:ascii="Calibri" w:hAnsi="Calibri"/>
                <w:sz w:val="20"/>
                <w:szCs w:val="20"/>
                <w:highlight w:val="yellow"/>
              </w:rPr>
            </w:pPr>
            <w:r w:rsidRPr="00EE0542">
              <w:rPr>
                <w:rFonts w:ascii="Calibri" w:hAnsi="Calibri"/>
                <w:sz w:val="20"/>
                <w:szCs w:val="20"/>
                <w:highlight w:val="yellow"/>
              </w:rPr>
              <w:t>DIČ:</w:t>
            </w:r>
          </w:p>
        </w:tc>
        <w:tc>
          <w:tcPr>
            <w:tcW w:w="4606" w:type="dxa"/>
            <w:tcBorders>
              <w:top w:val="nil"/>
              <w:left w:val="nil"/>
              <w:bottom w:val="nil"/>
              <w:right w:val="nil"/>
            </w:tcBorders>
          </w:tcPr>
          <w:p w:rsidR="00755369" w:rsidRPr="00EE0542" w:rsidRDefault="00755369" w:rsidP="00552634">
            <w:pPr>
              <w:rPr>
                <w:rFonts w:ascii="Calibri" w:hAnsi="Calibri"/>
                <w:sz w:val="20"/>
                <w:szCs w:val="20"/>
                <w:highlight w:val="yellow"/>
              </w:rPr>
            </w:pPr>
          </w:p>
        </w:tc>
      </w:tr>
      <w:tr w:rsidR="00755369" w:rsidRPr="00EE0542" w:rsidTr="00552634">
        <w:trPr>
          <w:trHeight w:val="348"/>
        </w:trPr>
        <w:tc>
          <w:tcPr>
            <w:tcW w:w="4606" w:type="dxa"/>
            <w:tcBorders>
              <w:top w:val="nil"/>
              <w:left w:val="nil"/>
              <w:bottom w:val="nil"/>
              <w:right w:val="nil"/>
            </w:tcBorders>
          </w:tcPr>
          <w:p w:rsidR="00755369" w:rsidRPr="00EE0542" w:rsidRDefault="00755369" w:rsidP="00552634">
            <w:pPr>
              <w:rPr>
                <w:rFonts w:ascii="Calibri" w:hAnsi="Calibri"/>
                <w:sz w:val="20"/>
                <w:szCs w:val="20"/>
                <w:highlight w:val="yellow"/>
              </w:rPr>
            </w:pPr>
            <w:r w:rsidRPr="00EE0542">
              <w:rPr>
                <w:rFonts w:ascii="Calibri" w:hAnsi="Calibri"/>
                <w:sz w:val="20"/>
                <w:szCs w:val="20"/>
                <w:highlight w:val="yellow"/>
              </w:rPr>
              <w:t>bankovní spojení:</w:t>
            </w:r>
          </w:p>
        </w:tc>
        <w:tc>
          <w:tcPr>
            <w:tcW w:w="4606" w:type="dxa"/>
            <w:tcBorders>
              <w:top w:val="nil"/>
              <w:left w:val="nil"/>
              <w:bottom w:val="nil"/>
              <w:right w:val="nil"/>
            </w:tcBorders>
          </w:tcPr>
          <w:p w:rsidR="00755369" w:rsidRPr="00EE0542" w:rsidRDefault="004C5007" w:rsidP="00552634">
            <w:pPr>
              <w:rPr>
                <w:rFonts w:ascii="Calibri" w:hAnsi="Calibri"/>
                <w:sz w:val="20"/>
                <w:szCs w:val="20"/>
                <w:highlight w:val="yellow"/>
              </w:rPr>
            </w:pPr>
            <w:proofErr w:type="spellStart"/>
            <w:r>
              <w:rPr>
                <w:rFonts w:ascii="Calibri" w:hAnsi="Calibri"/>
                <w:sz w:val="20"/>
                <w:szCs w:val="20"/>
                <w:highlight w:val="yellow"/>
              </w:rPr>
              <w:t>xxxx</w:t>
            </w:r>
            <w:proofErr w:type="spellEnd"/>
          </w:p>
        </w:tc>
      </w:tr>
      <w:tr w:rsidR="00755369" w:rsidRPr="00491C91" w:rsidTr="00552634">
        <w:trPr>
          <w:trHeight w:val="372"/>
        </w:trPr>
        <w:tc>
          <w:tcPr>
            <w:tcW w:w="4606" w:type="dxa"/>
            <w:tcBorders>
              <w:top w:val="nil"/>
              <w:left w:val="nil"/>
              <w:bottom w:val="nil"/>
              <w:right w:val="nil"/>
            </w:tcBorders>
          </w:tcPr>
          <w:p w:rsidR="00755369" w:rsidRPr="00EE0542" w:rsidRDefault="00755369" w:rsidP="00552634">
            <w:pPr>
              <w:rPr>
                <w:rFonts w:ascii="Calibri" w:hAnsi="Calibri"/>
                <w:sz w:val="20"/>
                <w:szCs w:val="20"/>
                <w:highlight w:val="yellow"/>
              </w:rPr>
            </w:pPr>
            <w:r w:rsidRPr="00EE0542">
              <w:rPr>
                <w:rFonts w:ascii="Calibri" w:hAnsi="Calibri"/>
                <w:sz w:val="20"/>
                <w:szCs w:val="20"/>
                <w:highlight w:val="yellow"/>
              </w:rPr>
              <w:t>č. účtu:</w:t>
            </w:r>
            <w:r w:rsidRPr="00EE0542">
              <w:rPr>
                <w:rFonts w:ascii="Calibri" w:hAnsi="Calibri"/>
                <w:sz w:val="20"/>
                <w:szCs w:val="20"/>
                <w:highlight w:val="yellow"/>
              </w:rPr>
              <w:tab/>
            </w:r>
          </w:p>
        </w:tc>
        <w:tc>
          <w:tcPr>
            <w:tcW w:w="4606" w:type="dxa"/>
            <w:tcBorders>
              <w:top w:val="nil"/>
              <w:left w:val="nil"/>
              <w:bottom w:val="nil"/>
              <w:right w:val="nil"/>
            </w:tcBorders>
          </w:tcPr>
          <w:p w:rsidR="00755369" w:rsidRPr="00491C91" w:rsidRDefault="004C5007" w:rsidP="00552634">
            <w:pPr>
              <w:rPr>
                <w:rFonts w:asciiTheme="minorHAnsi" w:hAnsiTheme="minorHAnsi"/>
                <w:sz w:val="20"/>
                <w:szCs w:val="20"/>
              </w:rPr>
            </w:pPr>
            <w:proofErr w:type="spellStart"/>
            <w:r w:rsidRPr="004C5007">
              <w:rPr>
                <w:rFonts w:asciiTheme="minorHAnsi" w:hAnsiTheme="minorHAnsi"/>
                <w:sz w:val="20"/>
                <w:szCs w:val="20"/>
                <w:highlight w:val="yellow"/>
              </w:rPr>
              <w:t>xxxx</w:t>
            </w:r>
            <w:proofErr w:type="spellEnd"/>
          </w:p>
        </w:tc>
      </w:tr>
    </w:tbl>
    <w:p w:rsidR="00755369" w:rsidRPr="00491C91" w:rsidRDefault="00755369" w:rsidP="00755369">
      <w:pPr>
        <w:rPr>
          <w:rFonts w:ascii="Calibri" w:hAnsi="Calibri"/>
          <w:sz w:val="20"/>
          <w:szCs w:val="20"/>
        </w:rPr>
      </w:pPr>
    </w:p>
    <w:p w:rsidR="00755369" w:rsidRPr="00491C91" w:rsidRDefault="00755369" w:rsidP="00755369">
      <w:pPr>
        <w:rPr>
          <w:rFonts w:ascii="Calibri" w:hAnsi="Calibri"/>
          <w:i/>
          <w:sz w:val="20"/>
          <w:szCs w:val="20"/>
        </w:rPr>
      </w:pPr>
      <w:r w:rsidRPr="00491C91">
        <w:rPr>
          <w:rFonts w:ascii="Calibri" w:hAnsi="Calibri"/>
          <w:i/>
          <w:sz w:val="20"/>
          <w:szCs w:val="20"/>
        </w:rPr>
        <w:t xml:space="preserve">(dále </w:t>
      </w:r>
      <w:r w:rsidR="00AE44BC">
        <w:rPr>
          <w:rFonts w:ascii="Calibri" w:hAnsi="Calibri"/>
          <w:i/>
          <w:sz w:val="20"/>
          <w:szCs w:val="20"/>
        </w:rPr>
        <w:t>jen</w:t>
      </w:r>
      <w:r w:rsidRPr="00491C91">
        <w:rPr>
          <w:rFonts w:ascii="Calibri" w:hAnsi="Calibri"/>
          <w:i/>
          <w:sz w:val="20"/>
          <w:szCs w:val="20"/>
        </w:rPr>
        <w:t xml:space="preserve"> „příjemce“)</w:t>
      </w:r>
    </w:p>
    <w:p w:rsidR="00EE0542" w:rsidRPr="00491C91" w:rsidRDefault="00EE0542" w:rsidP="007207FD">
      <w:pPr>
        <w:spacing w:after="0" w:line="240" w:lineRule="auto"/>
        <w:rPr>
          <w:b/>
          <w:szCs w:val="24"/>
        </w:rPr>
      </w:pPr>
    </w:p>
    <w:p w:rsidR="00652884" w:rsidRPr="00491C91" w:rsidRDefault="00652884" w:rsidP="007207FD">
      <w:pPr>
        <w:spacing w:after="0" w:line="240" w:lineRule="auto"/>
        <w:rPr>
          <w:b/>
          <w:szCs w:val="24"/>
        </w:rPr>
      </w:pPr>
    </w:p>
    <w:p w:rsidR="007207FD" w:rsidRPr="00491C91" w:rsidRDefault="007207FD" w:rsidP="003634AA">
      <w:pPr>
        <w:spacing w:after="0"/>
        <w:jc w:val="center"/>
        <w:rPr>
          <w:rFonts w:asciiTheme="minorHAnsi" w:hAnsiTheme="minorHAnsi"/>
          <w:b/>
          <w:sz w:val="20"/>
          <w:szCs w:val="20"/>
        </w:rPr>
      </w:pPr>
      <w:r w:rsidRPr="00491C91">
        <w:rPr>
          <w:rFonts w:asciiTheme="minorHAnsi" w:hAnsiTheme="minorHAnsi"/>
          <w:b/>
          <w:sz w:val="20"/>
          <w:szCs w:val="20"/>
        </w:rPr>
        <w:t>I.</w:t>
      </w:r>
    </w:p>
    <w:p w:rsidR="007207FD" w:rsidRPr="00491C91" w:rsidRDefault="007207FD" w:rsidP="007207FD">
      <w:pPr>
        <w:tabs>
          <w:tab w:val="left" w:pos="2780"/>
          <w:tab w:val="center" w:pos="4876"/>
        </w:tabs>
        <w:spacing w:after="120"/>
        <w:rPr>
          <w:rFonts w:asciiTheme="minorHAnsi" w:hAnsiTheme="minorHAnsi"/>
          <w:b/>
          <w:sz w:val="20"/>
          <w:szCs w:val="20"/>
        </w:rPr>
      </w:pPr>
      <w:r w:rsidRPr="00491C91">
        <w:rPr>
          <w:rFonts w:asciiTheme="minorHAnsi" w:hAnsiTheme="minorHAnsi"/>
          <w:b/>
          <w:sz w:val="20"/>
          <w:szCs w:val="20"/>
        </w:rPr>
        <w:tab/>
      </w:r>
      <w:r w:rsidRPr="00491C91">
        <w:rPr>
          <w:rFonts w:asciiTheme="minorHAnsi" w:hAnsiTheme="minorHAnsi"/>
          <w:b/>
          <w:sz w:val="20"/>
          <w:szCs w:val="20"/>
        </w:rPr>
        <w:tab/>
        <w:t>Předmět smlouvy a účel dotace</w:t>
      </w:r>
    </w:p>
    <w:p w:rsidR="00EB4DAA" w:rsidRPr="00491C91" w:rsidRDefault="007207FD" w:rsidP="007207FD">
      <w:pPr>
        <w:pStyle w:val="Odstavecseseznamem"/>
        <w:numPr>
          <w:ilvl w:val="0"/>
          <w:numId w:val="1"/>
        </w:numPr>
        <w:spacing w:before="120" w:after="0" w:line="240" w:lineRule="auto"/>
        <w:ind w:left="425" w:hanging="425"/>
        <w:contextualSpacing w:val="0"/>
        <w:jc w:val="both"/>
        <w:rPr>
          <w:rFonts w:asciiTheme="minorHAnsi" w:hAnsiTheme="minorHAnsi"/>
          <w:sz w:val="20"/>
          <w:szCs w:val="20"/>
        </w:rPr>
      </w:pPr>
      <w:r w:rsidRPr="00491C91">
        <w:rPr>
          <w:rFonts w:asciiTheme="minorHAnsi" w:hAnsiTheme="minorHAnsi"/>
          <w:sz w:val="20"/>
          <w:szCs w:val="20"/>
        </w:rPr>
        <w:t>Předmětem této smlouvy je poskytnutí účelové neinvestiční finanční podpory z rozpočtu poskytovatele ve formě dotace (dále jen „dotace“)</w:t>
      </w:r>
      <w:r w:rsidR="00AE44BC">
        <w:rPr>
          <w:rFonts w:asciiTheme="minorHAnsi" w:hAnsiTheme="minorHAnsi"/>
          <w:sz w:val="20"/>
          <w:szCs w:val="20"/>
        </w:rPr>
        <w:t xml:space="preserve"> </w:t>
      </w:r>
      <w:r w:rsidR="001C3323" w:rsidRPr="00491C91">
        <w:rPr>
          <w:rFonts w:asciiTheme="minorHAnsi" w:hAnsiTheme="minorHAnsi"/>
          <w:sz w:val="20"/>
          <w:szCs w:val="20"/>
        </w:rPr>
        <w:t>na výd</w:t>
      </w:r>
      <w:r w:rsidR="006F3276" w:rsidRPr="00491C91">
        <w:rPr>
          <w:rFonts w:asciiTheme="minorHAnsi" w:hAnsiTheme="minorHAnsi"/>
          <w:sz w:val="20"/>
          <w:szCs w:val="20"/>
        </w:rPr>
        <w:t>a</w:t>
      </w:r>
      <w:r w:rsidR="001C3323" w:rsidRPr="00491C91">
        <w:rPr>
          <w:rFonts w:asciiTheme="minorHAnsi" w:hAnsiTheme="minorHAnsi"/>
          <w:sz w:val="20"/>
          <w:szCs w:val="20"/>
        </w:rPr>
        <w:t>je jednotky sboru do</w:t>
      </w:r>
      <w:r w:rsidR="003F7E47" w:rsidRPr="00491C91">
        <w:rPr>
          <w:rFonts w:asciiTheme="minorHAnsi" w:hAnsiTheme="minorHAnsi"/>
          <w:sz w:val="20"/>
          <w:szCs w:val="20"/>
        </w:rPr>
        <w:t xml:space="preserve">brovolných hasičů obce </w:t>
      </w:r>
      <w:r w:rsidR="00C6220B" w:rsidRPr="00491C91">
        <w:rPr>
          <w:rFonts w:asciiTheme="minorHAnsi" w:hAnsiTheme="minorHAnsi"/>
          <w:sz w:val="20"/>
          <w:szCs w:val="20"/>
        </w:rPr>
        <w:t>(dále jen „</w:t>
      </w:r>
      <w:r w:rsidR="00A24D05">
        <w:rPr>
          <w:rFonts w:asciiTheme="minorHAnsi" w:hAnsiTheme="minorHAnsi"/>
          <w:sz w:val="20"/>
          <w:szCs w:val="20"/>
        </w:rPr>
        <w:t>J</w:t>
      </w:r>
      <w:r w:rsidR="00C6220B" w:rsidRPr="00491C91">
        <w:rPr>
          <w:rFonts w:asciiTheme="minorHAnsi" w:hAnsiTheme="minorHAnsi"/>
          <w:sz w:val="20"/>
          <w:szCs w:val="20"/>
        </w:rPr>
        <w:t>SDH obce“)</w:t>
      </w:r>
      <w:r w:rsidR="002208BD">
        <w:rPr>
          <w:rFonts w:asciiTheme="minorHAnsi" w:hAnsiTheme="minorHAnsi"/>
          <w:sz w:val="20"/>
          <w:szCs w:val="20"/>
        </w:rPr>
        <w:t xml:space="preserve"> </w:t>
      </w:r>
      <w:r w:rsidR="00AE44BC">
        <w:rPr>
          <w:rFonts w:asciiTheme="minorHAnsi" w:hAnsiTheme="minorHAnsi"/>
          <w:sz w:val="20"/>
          <w:szCs w:val="20"/>
        </w:rPr>
        <w:t>na</w:t>
      </w:r>
      <w:r w:rsidR="00AE44BC" w:rsidRPr="00491C91">
        <w:rPr>
          <w:rFonts w:asciiTheme="minorHAnsi" w:hAnsiTheme="minorHAnsi"/>
          <w:sz w:val="20"/>
          <w:szCs w:val="20"/>
        </w:rPr>
        <w:t xml:space="preserve"> </w:t>
      </w:r>
      <w:r w:rsidR="003F7E47" w:rsidRPr="00491C91">
        <w:rPr>
          <w:rFonts w:asciiTheme="minorHAnsi" w:hAnsiTheme="minorHAnsi"/>
          <w:sz w:val="20"/>
          <w:szCs w:val="20"/>
        </w:rPr>
        <w:t>rok 201</w:t>
      </w:r>
      <w:r w:rsidR="00AE44BC">
        <w:rPr>
          <w:rFonts w:asciiTheme="minorHAnsi" w:hAnsiTheme="minorHAnsi"/>
          <w:sz w:val="20"/>
          <w:szCs w:val="20"/>
        </w:rPr>
        <w:t>4</w:t>
      </w:r>
      <w:r w:rsidR="00481552" w:rsidRPr="00491C91">
        <w:rPr>
          <w:rFonts w:asciiTheme="minorHAnsi" w:hAnsiTheme="minorHAnsi"/>
          <w:sz w:val="20"/>
          <w:szCs w:val="20"/>
        </w:rPr>
        <w:t xml:space="preserve"> </w:t>
      </w:r>
      <w:r w:rsidR="00EB4DAA" w:rsidRPr="00491C91">
        <w:rPr>
          <w:rFonts w:asciiTheme="minorHAnsi" w:hAnsiTheme="minorHAnsi"/>
          <w:sz w:val="20"/>
          <w:szCs w:val="20"/>
        </w:rPr>
        <w:t>na</w:t>
      </w:r>
      <w:r w:rsidR="00AE44BC">
        <w:rPr>
          <w:rFonts w:asciiTheme="minorHAnsi" w:hAnsiTheme="minorHAnsi"/>
          <w:sz w:val="20"/>
          <w:szCs w:val="20"/>
        </w:rPr>
        <w:t xml:space="preserve"> </w:t>
      </w:r>
      <w:r w:rsidR="000072D6" w:rsidRPr="000072D6">
        <w:rPr>
          <w:rFonts w:asciiTheme="minorHAnsi" w:hAnsiTheme="minorHAnsi"/>
          <w:b/>
          <w:sz w:val="20"/>
          <w:szCs w:val="20"/>
        </w:rPr>
        <w:t xml:space="preserve">výdaje na zabezpečení akceschopnosti </w:t>
      </w:r>
      <w:r w:rsidR="00A24D05">
        <w:rPr>
          <w:rFonts w:asciiTheme="minorHAnsi" w:hAnsiTheme="minorHAnsi"/>
          <w:b/>
          <w:sz w:val="20"/>
          <w:szCs w:val="20"/>
        </w:rPr>
        <w:t>J</w:t>
      </w:r>
      <w:r w:rsidR="000072D6" w:rsidRPr="000072D6">
        <w:rPr>
          <w:rFonts w:asciiTheme="minorHAnsi" w:hAnsiTheme="minorHAnsi"/>
          <w:b/>
          <w:sz w:val="20"/>
          <w:szCs w:val="20"/>
        </w:rPr>
        <w:t>SDH obce ve formě příspěvku</w:t>
      </w:r>
      <w:r w:rsidR="00EB4DAA" w:rsidRPr="00491C91">
        <w:rPr>
          <w:rFonts w:asciiTheme="minorHAnsi" w:hAnsiTheme="minorHAnsi"/>
          <w:sz w:val="20"/>
          <w:szCs w:val="20"/>
        </w:rPr>
        <w:t>:</w:t>
      </w:r>
    </w:p>
    <w:p w:rsidR="00BB4F00" w:rsidRDefault="000072D6" w:rsidP="00D425A5">
      <w:pPr>
        <w:pStyle w:val="Odstavecseseznamem"/>
        <w:numPr>
          <w:ilvl w:val="0"/>
          <w:numId w:val="9"/>
        </w:numPr>
        <w:spacing w:before="120" w:after="0" w:line="240" w:lineRule="auto"/>
        <w:ind w:left="851" w:hanging="425"/>
        <w:contextualSpacing w:val="0"/>
        <w:jc w:val="both"/>
        <w:rPr>
          <w:rFonts w:asciiTheme="minorHAnsi" w:hAnsiTheme="minorHAnsi"/>
          <w:sz w:val="20"/>
          <w:szCs w:val="20"/>
        </w:rPr>
      </w:pPr>
      <w:r w:rsidRPr="000072D6">
        <w:rPr>
          <w:rFonts w:asciiTheme="minorHAnsi" w:hAnsiTheme="minorHAnsi"/>
          <w:b/>
          <w:i/>
          <w:sz w:val="20"/>
          <w:szCs w:val="20"/>
        </w:rPr>
        <w:lastRenderedPageBreak/>
        <w:t>na zabezpečení akceschopnosti jednotky požární ochran</w:t>
      </w:r>
      <w:r w:rsidR="00CD0918">
        <w:rPr>
          <w:rFonts w:asciiTheme="minorHAnsi" w:hAnsiTheme="minorHAnsi"/>
          <w:b/>
          <w:i/>
          <w:sz w:val="20"/>
          <w:szCs w:val="20"/>
        </w:rPr>
        <w:t xml:space="preserve">y </w:t>
      </w:r>
      <w:r w:rsidR="007C3B00">
        <w:rPr>
          <w:rFonts w:asciiTheme="minorHAnsi" w:hAnsiTheme="minorHAnsi"/>
          <w:b/>
          <w:i/>
          <w:sz w:val="20"/>
          <w:szCs w:val="20"/>
        </w:rPr>
        <w:t xml:space="preserve">kategorie II </w:t>
      </w:r>
      <w:r w:rsidRPr="000072D6">
        <w:rPr>
          <w:rFonts w:asciiTheme="minorHAnsi" w:hAnsiTheme="minorHAnsi"/>
          <w:b/>
          <w:i/>
          <w:sz w:val="20"/>
          <w:szCs w:val="20"/>
        </w:rPr>
        <w:t>(dále jen „JPO</w:t>
      </w:r>
      <w:r w:rsidR="007C3B00">
        <w:rPr>
          <w:rFonts w:asciiTheme="minorHAnsi" w:hAnsiTheme="minorHAnsi"/>
          <w:b/>
          <w:i/>
          <w:sz w:val="20"/>
          <w:szCs w:val="20"/>
        </w:rPr>
        <w:t xml:space="preserve"> II</w:t>
      </w:r>
      <w:r w:rsidRPr="000072D6">
        <w:rPr>
          <w:rFonts w:asciiTheme="minorHAnsi" w:hAnsiTheme="minorHAnsi"/>
          <w:b/>
          <w:i/>
          <w:sz w:val="20"/>
          <w:szCs w:val="20"/>
        </w:rPr>
        <w:t>“)</w:t>
      </w:r>
      <w:r w:rsidR="00C6220B">
        <w:rPr>
          <w:rFonts w:asciiTheme="minorHAnsi" w:hAnsiTheme="minorHAnsi"/>
          <w:b/>
          <w:i/>
          <w:sz w:val="20"/>
          <w:szCs w:val="20"/>
        </w:rPr>
        <w:t xml:space="preserve"> kategorie II (dále jen „JPO II“)</w:t>
      </w:r>
      <w:r w:rsidR="00AE44BC">
        <w:rPr>
          <w:rFonts w:asciiTheme="minorHAnsi" w:hAnsiTheme="minorHAnsi"/>
          <w:b/>
          <w:sz w:val="20"/>
          <w:szCs w:val="20"/>
        </w:rPr>
        <w:t xml:space="preserve"> </w:t>
      </w:r>
      <w:r w:rsidRPr="000072D6">
        <w:rPr>
          <w:rFonts w:asciiTheme="minorHAnsi" w:hAnsiTheme="minorHAnsi"/>
          <w:sz w:val="20"/>
          <w:szCs w:val="20"/>
        </w:rPr>
        <w:t>ve smyslu ustanovení</w:t>
      </w:r>
      <w:r w:rsidR="00AE44BC">
        <w:rPr>
          <w:rFonts w:asciiTheme="minorHAnsi" w:hAnsiTheme="minorHAnsi"/>
          <w:b/>
          <w:sz w:val="20"/>
          <w:szCs w:val="20"/>
        </w:rPr>
        <w:t xml:space="preserve"> </w:t>
      </w:r>
      <w:r w:rsidR="00AE44BC">
        <w:rPr>
          <w:rFonts w:asciiTheme="minorHAnsi" w:hAnsiTheme="minorHAnsi"/>
          <w:sz w:val="20"/>
          <w:szCs w:val="20"/>
        </w:rPr>
        <w:t>§ 18 vyhlášky č. 247/2001 Sb., o organizaci a činnosti jednotek požární ochrany, ve znění pozdějších předpisů</w:t>
      </w:r>
      <w:r w:rsidR="00735A76">
        <w:rPr>
          <w:rFonts w:asciiTheme="minorHAnsi" w:hAnsiTheme="minorHAnsi"/>
          <w:sz w:val="20"/>
          <w:szCs w:val="20"/>
        </w:rPr>
        <w:t xml:space="preserve"> (dále jen „vyhláška o JPO“)</w:t>
      </w:r>
      <w:r w:rsidR="00AE44BC">
        <w:rPr>
          <w:rFonts w:asciiTheme="minorHAnsi" w:hAnsiTheme="minorHAnsi"/>
          <w:sz w:val="20"/>
          <w:szCs w:val="20"/>
        </w:rPr>
        <w:t xml:space="preserve">, </w:t>
      </w:r>
      <w:r w:rsidR="00AE44BC">
        <w:rPr>
          <w:rFonts w:asciiTheme="minorHAnsi" w:hAnsiTheme="minorHAnsi"/>
          <w:sz w:val="20"/>
          <w:szCs w:val="20"/>
          <w:lang w:val="en-US"/>
        </w:rPr>
        <w:t>[</w:t>
      </w:r>
      <w:r w:rsidR="00AE44BC">
        <w:rPr>
          <w:rFonts w:asciiTheme="minorHAnsi" w:hAnsiTheme="minorHAnsi"/>
          <w:sz w:val="20"/>
          <w:szCs w:val="20"/>
        </w:rPr>
        <w:t xml:space="preserve">tj. </w:t>
      </w:r>
      <w:r w:rsidR="00D425A5" w:rsidRPr="00491C91">
        <w:rPr>
          <w:rFonts w:asciiTheme="minorHAnsi" w:hAnsiTheme="minorHAnsi"/>
          <w:sz w:val="20"/>
          <w:szCs w:val="20"/>
        </w:rPr>
        <w:t xml:space="preserve">organizační, technická </w:t>
      </w:r>
      <w:r w:rsidR="00AE44BC">
        <w:rPr>
          <w:rFonts w:asciiTheme="minorHAnsi" w:hAnsiTheme="minorHAnsi"/>
          <w:sz w:val="20"/>
          <w:szCs w:val="20"/>
        </w:rPr>
        <w:t>(</w:t>
      </w:r>
      <w:r w:rsidR="00D425A5" w:rsidRPr="00491C91">
        <w:rPr>
          <w:rFonts w:asciiTheme="minorHAnsi" w:hAnsiTheme="minorHAnsi"/>
          <w:sz w:val="20"/>
          <w:szCs w:val="20"/>
        </w:rPr>
        <w:t>např. věcné pro</w:t>
      </w:r>
      <w:r w:rsidR="009E29BF" w:rsidRPr="00491C91">
        <w:rPr>
          <w:rFonts w:asciiTheme="minorHAnsi" w:hAnsiTheme="minorHAnsi"/>
          <w:sz w:val="20"/>
          <w:szCs w:val="20"/>
        </w:rPr>
        <w:t>středky požární ochrany</w:t>
      </w:r>
      <w:r w:rsidR="00D425A5" w:rsidRPr="00491C91">
        <w:rPr>
          <w:rFonts w:asciiTheme="minorHAnsi" w:hAnsiTheme="minorHAnsi"/>
          <w:sz w:val="20"/>
          <w:szCs w:val="20"/>
        </w:rPr>
        <w:t>)</w:t>
      </w:r>
      <w:r w:rsidR="00AE44BC">
        <w:rPr>
          <w:rFonts w:asciiTheme="minorHAnsi" w:hAnsiTheme="minorHAnsi"/>
          <w:sz w:val="20"/>
          <w:szCs w:val="20"/>
        </w:rPr>
        <w:t xml:space="preserve"> a odborná připravenost sil a prostředků k provedení zásahu], </w:t>
      </w:r>
      <w:r w:rsidR="00D425A5" w:rsidRPr="00491C91">
        <w:rPr>
          <w:rFonts w:asciiTheme="minorHAnsi" w:hAnsiTheme="minorHAnsi"/>
          <w:sz w:val="20"/>
          <w:szCs w:val="20"/>
        </w:rPr>
        <w:t xml:space="preserve">která zabezpečuje výjezd z místa své dislokace k zásahu nejpozději do 5 minut po vyhlášení poplachu </w:t>
      </w:r>
      <w:r w:rsidR="00CD0918">
        <w:rPr>
          <w:rFonts w:asciiTheme="minorHAnsi" w:hAnsiTheme="minorHAnsi"/>
          <w:sz w:val="20"/>
          <w:szCs w:val="20"/>
        </w:rPr>
        <w:t>JPO II</w:t>
      </w:r>
      <w:r w:rsidR="00CD0918" w:rsidRPr="00491C91">
        <w:rPr>
          <w:rFonts w:asciiTheme="minorHAnsi" w:hAnsiTheme="minorHAnsi"/>
          <w:sz w:val="20"/>
          <w:szCs w:val="20"/>
        </w:rPr>
        <w:t xml:space="preserve"> </w:t>
      </w:r>
      <w:r w:rsidR="00B36A35">
        <w:rPr>
          <w:rFonts w:asciiTheme="minorHAnsi" w:hAnsiTheme="minorHAnsi"/>
          <w:sz w:val="20"/>
          <w:szCs w:val="20"/>
        </w:rPr>
        <w:t>[</w:t>
      </w:r>
      <w:r w:rsidR="00735A76">
        <w:rPr>
          <w:rFonts w:asciiTheme="minorHAnsi" w:hAnsiTheme="minorHAnsi"/>
          <w:sz w:val="20"/>
          <w:szCs w:val="20"/>
        </w:rPr>
        <w:t xml:space="preserve">viz ustanovení § 11 odst. </w:t>
      </w:r>
      <w:r w:rsidR="00B36A35">
        <w:rPr>
          <w:rFonts w:asciiTheme="minorHAnsi" w:hAnsiTheme="minorHAnsi"/>
          <w:sz w:val="20"/>
          <w:szCs w:val="20"/>
        </w:rPr>
        <w:t>(</w:t>
      </w:r>
      <w:r w:rsidR="00735A76">
        <w:rPr>
          <w:rFonts w:asciiTheme="minorHAnsi" w:hAnsiTheme="minorHAnsi"/>
          <w:sz w:val="20"/>
          <w:szCs w:val="20"/>
        </w:rPr>
        <w:t>2</w:t>
      </w:r>
      <w:r w:rsidR="00B36A35">
        <w:rPr>
          <w:rFonts w:asciiTheme="minorHAnsi" w:hAnsiTheme="minorHAnsi"/>
          <w:sz w:val="20"/>
          <w:szCs w:val="20"/>
        </w:rPr>
        <w:t>)</w:t>
      </w:r>
      <w:r w:rsidR="00735A76">
        <w:rPr>
          <w:rFonts w:asciiTheme="minorHAnsi" w:hAnsiTheme="minorHAnsi"/>
          <w:sz w:val="20"/>
          <w:szCs w:val="20"/>
        </w:rPr>
        <w:t xml:space="preserve"> písm. c) vyhlášky o JPO</w:t>
      </w:r>
      <w:r w:rsidR="00B36A35">
        <w:rPr>
          <w:rFonts w:asciiTheme="minorHAnsi" w:hAnsiTheme="minorHAnsi"/>
          <w:sz w:val="20"/>
          <w:szCs w:val="20"/>
        </w:rPr>
        <w:t>}</w:t>
      </w:r>
      <w:r w:rsidR="00735A76">
        <w:rPr>
          <w:rFonts w:asciiTheme="minorHAnsi" w:hAnsiTheme="minorHAnsi"/>
          <w:sz w:val="20"/>
          <w:szCs w:val="20"/>
        </w:rPr>
        <w:t xml:space="preserve">, a to </w:t>
      </w:r>
      <w:r w:rsidR="00D425A5" w:rsidRPr="00491C91">
        <w:rPr>
          <w:rFonts w:asciiTheme="minorHAnsi" w:hAnsiTheme="minorHAnsi"/>
          <w:sz w:val="20"/>
          <w:szCs w:val="20"/>
        </w:rPr>
        <w:t>v síle nejméně jednoho družstva</w:t>
      </w:r>
      <w:r w:rsidR="00E32C4C">
        <w:rPr>
          <w:rFonts w:asciiTheme="minorHAnsi" w:hAnsiTheme="minorHAnsi"/>
          <w:sz w:val="20"/>
          <w:szCs w:val="20"/>
        </w:rPr>
        <w:t xml:space="preserve">, </w:t>
      </w:r>
      <w:r w:rsidR="00E32C4C" w:rsidRPr="00491C91">
        <w:rPr>
          <w:rFonts w:asciiTheme="minorHAnsi" w:hAnsiTheme="minorHAnsi"/>
          <w:sz w:val="20"/>
          <w:szCs w:val="20"/>
        </w:rPr>
        <w:t>u</w:t>
      </w:r>
      <w:r w:rsidR="00E32C4C">
        <w:rPr>
          <w:rFonts w:asciiTheme="minorHAnsi" w:hAnsiTheme="minorHAnsi"/>
          <w:sz w:val="20"/>
          <w:szCs w:val="20"/>
        </w:rPr>
        <w:t xml:space="preserve"> JPO </w:t>
      </w:r>
      <w:r w:rsidR="00E32C4C" w:rsidRPr="00491C91">
        <w:rPr>
          <w:rFonts w:asciiTheme="minorHAnsi" w:hAnsiTheme="minorHAnsi"/>
          <w:sz w:val="20"/>
          <w:szCs w:val="20"/>
        </w:rPr>
        <w:t xml:space="preserve">kategorie II/2 </w:t>
      </w:r>
      <w:r w:rsidR="00E32C4C">
        <w:rPr>
          <w:rFonts w:asciiTheme="minorHAnsi" w:hAnsiTheme="minorHAnsi"/>
          <w:sz w:val="20"/>
          <w:szCs w:val="20"/>
        </w:rPr>
        <w:t xml:space="preserve">v síle </w:t>
      </w:r>
      <w:r w:rsidR="00E32C4C" w:rsidRPr="00491C91">
        <w:rPr>
          <w:rFonts w:asciiTheme="minorHAnsi" w:hAnsiTheme="minorHAnsi"/>
          <w:sz w:val="20"/>
          <w:szCs w:val="20"/>
        </w:rPr>
        <w:t>nejméně dvou družstev</w:t>
      </w:r>
      <w:r w:rsidR="00E32C4C">
        <w:rPr>
          <w:rFonts w:asciiTheme="minorHAnsi" w:hAnsiTheme="minorHAnsi"/>
          <w:sz w:val="20"/>
          <w:szCs w:val="20"/>
        </w:rPr>
        <w:t>,</w:t>
      </w:r>
      <w:r w:rsidR="00D425A5" w:rsidRPr="00491C91">
        <w:rPr>
          <w:rFonts w:asciiTheme="minorHAnsi" w:hAnsiTheme="minorHAnsi"/>
          <w:sz w:val="20"/>
          <w:szCs w:val="20"/>
        </w:rPr>
        <w:t xml:space="preserve"> </w:t>
      </w:r>
      <w:r w:rsidR="00735A76">
        <w:rPr>
          <w:rFonts w:asciiTheme="minorHAnsi" w:hAnsiTheme="minorHAnsi"/>
          <w:sz w:val="20"/>
          <w:szCs w:val="20"/>
        </w:rPr>
        <w:t xml:space="preserve">ve </w:t>
      </w:r>
      <w:r w:rsidR="00D425A5" w:rsidRPr="00491C91">
        <w:rPr>
          <w:rFonts w:asciiTheme="minorHAnsi" w:hAnsiTheme="minorHAnsi"/>
          <w:sz w:val="20"/>
          <w:szCs w:val="20"/>
        </w:rPr>
        <w:t>zmenšeném početním stavu</w:t>
      </w:r>
      <w:r w:rsidR="00E32C4C">
        <w:rPr>
          <w:rFonts w:asciiTheme="minorHAnsi" w:hAnsiTheme="minorHAnsi"/>
          <w:sz w:val="20"/>
          <w:szCs w:val="20"/>
        </w:rPr>
        <w:t>.</w:t>
      </w:r>
      <w:r w:rsidR="00735A76">
        <w:rPr>
          <w:rFonts w:asciiTheme="minorHAnsi" w:hAnsiTheme="minorHAnsi"/>
          <w:sz w:val="20"/>
          <w:szCs w:val="20"/>
        </w:rPr>
        <w:t xml:space="preserve"> </w:t>
      </w:r>
      <w:r w:rsidR="00E32C4C">
        <w:rPr>
          <w:rFonts w:asciiTheme="minorHAnsi" w:hAnsiTheme="minorHAnsi"/>
          <w:sz w:val="20"/>
          <w:szCs w:val="20"/>
        </w:rPr>
        <w:t xml:space="preserve">Družstvo ve zmenšeném početním stavu je družstvem </w:t>
      </w:r>
      <w:r w:rsidR="00D425A5" w:rsidRPr="00491C91">
        <w:rPr>
          <w:rFonts w:asciiTheme="minorHAnsi" w:hAnsiTheme="minorHAnsi"/>
          <w:sz w:val="20"/>
          <w:szCs w:val="20"/>
        </w:rPr>
        <w:t>ve složení velitel, strojník a</w:t>
      </w:r>
      <w:r w:rsidR="00B36A35">
        <w:rPr>
          <w:rFonts w:asciiTheme="minorHAnsi" w:hAnsiTheme="minorHAnsi"/>
          <w:sz w:val="20"/>
          <w:szCs w:val="20"/>
        </w:rPr>
        <w:t> </w:t>
      </w:r>
      <w:r w:rsidR="00D425A5" w:rsidRPr="00491C91">
        <w:rPr>
          <w:rFonts w:asciiTheme="minorHAnsi" w:hAnsiTheme="minorHAnsi"/>
          <w:sz w:val="20"/>
          <w:szCs w:val="20"/>
        </w:rPr>
        <w:t>dva hasiči</w:t>
      </w:r>
      <w:r w:rsidR="00735A76">
        <w:rPr>
          <w:rFonts w:asciiTheme="minorHAnsi" w:hAnsiTheme="minorHAnsi"/>
          <w:sz w:val="20"/>
          <w:szCs w:val="20"/>
        </w:rPr>
        <w:t xml:space="preserve"> </w:t>
      </w:r>
      <w:r w:rsidR="00B36A35">
        <w:rPr>
          <w:rFonts w:asciiTheme="minorHAnsi" w:hAnsiTheme="minorHAnsi"/>
          <w:sz w:val="20"/>
          <w:szCs w:val="20"/>
        </w:rPr>
        <w:t>[</w:t>
      </w:r>
      <w:r w:rsidR="00735A76">
        <w:rPr>
          <w:rFonts w:asciiTheme="minorHAnsi" w:hAnsiTheme="minorHAnsi"/>
          <w:sz w:val="20"/>
          <w:szCs w:val="20"/>
        </w:rPr>
        <w:t xml:space="preserve">ustanovení § 4 odst. </w:t>
      </w:r>
      <w:r w:rsidR="00B36A35">
        <w:rPr>
          <w:rFonts w:asciiTheme="minorHAnsi" w:hAnsiTheme="minorHAnsi"/>
          <w:sz w:val="20"/>
          <w:szCs w:val="20"/>
        </w:rPr>
        <w:t>(</w:t>
      </w:r>
      <w:r w:rsidR="00735A76">
        <w:rPr>
          <w:rFonts w:asciiTheme="minorHAnsi" w:hAnsiTheme="minorHAnsi"/>
          <w:sz w:val="20"/>
          <w:szCs w:val="20"/>
        </w:rPr>
        <w:t>2</w:t>
      </w:r>
      <w:r w:rsidR="00B36A35">
        <w:rPr>
          <w:rFonts w:asciiTheme="minorHAnsi" w:hAnsiTheme="minorHAnsi"/>
          <w:sz w:val="20"/>
          <w:szCs w:val="20"/>
        </w:rPr>
        <w:t>)</w:t>
      </w:r>
      <w:r w:rsidR="00735A76">
        <w:rPr>
          <w:rFonts w:asciiTheme="minorHAnsi" w:hAnsiTheme="minorHAnsi"/>
          <w:sz w:val="20"/>
          <w:szCs w:val="20"/>
        </w:rPr>
        <w:t xml:space="preserve"> vyhlášky o JPO</w:t>
      </w:r>
      <w:r w:rsidR="00B36A35">
        <w:rPr>
          <w:rFonts w:asciiTheme="minorHAnsi" w:hAnsiTheme="minorHAnsi"/>
          <w:sz w:val="20"/>
          <w:szCs w:val="20"/>
        </w:rPr>
        <w:t>]</w:t>
      </w:r>
      <w:r w:rsidR="00D425A5" w:rsidRPr="00491C91">
        <w:rPr>
          <w:rFonts w:asciiTheme="minorHAnsi" w:hAnsiTheme="minorHAnsi"/>
          <w:sz w:val="20"/>
          <w:szCs w:val="20"/>
        </w:rPr>
        <w:t xml:space="preserve">. Členové </w:t>
      </w:r>
      <w:r w:rsidR="00DE73D7">
        <w:rPr>
          <w:rFonts w:asciiTheme="minorHAnsi" w:hAnsiTheme="minorHAnsi"/>
          <w:sz w:val="20"/>
          <w:szCs w:val="20"/>
        </w:rPr>
        <w:t>JPO</w:t>
      </w:r>
      <w:r w:rsidR="00DE73D7" w:rsidRPr="00491C91">
        <w:rPr>
          <w:rFonts w:asciiTheme="minorHAnsi" w:hAnsiTheme="minorHAnsi"/>
          <w:sz w:val="20"/>
          <w:szCs w:val="20"/>
        </w:rPr>
        <w:t xml:space="preserve"> </w:t>
      </w:r>
      <w:r w:rsidR="00DE73D7">
        <w:rPr>
          <w:rFonts w:asciiTheme="minorHAnsi" w:hAnsiTheme="minorHAnsi"/>
          <w:sz w:val="20"/>
          <w:szCs w:val="20"/>
        </w:rPr>
        <w:t xml:space="preserve">II </w:t>
      </w:r>
      <w:r w:rsidR="00D425A5" w:rsidRPr="00491C91">
        <w:rPr>
          <w:rFonts w:asciiTheme="minorHAnsi" w:hAnsiTheme="minorHAnsi"/>
          <w:sz w:val="20"/>
          <w:szCs w:val="20"/>
        </w:rPr>
        <w:t xml:space="preserve">zajišťují připravenost k výjezdu </w:t>
      </w:r>
      <w:r w:rsidR="00DE73D7">
        <w:rPr>
          <w:rFonts w:asciiTheme="minorHAnsi" w:hAnsiTheme="minorHAnsi"/>
          <w:sz w:val="20"/>
          <w:szCs w:val="20"/>
        </w:rPr>
        <w:t xml:space="preserve">dané </w:t>
      </w:r>
      <w:r w:rsidR="002208BD">
        <w:rPr>
          <w:rFonts w:asciiTheme="minorHAnsi" w:hAnsiTheme="minorHAnsi"/>
          <w:sz w:val="20"/>
          <w:szCs w:val="20"/>
        </w:rPr>
        <w:t>JPO</w:t>
      </w:r>
      <w:r w:rsidR="00DE73D7">
        <w:rPr>
          <w:rFonts w:asciiTheme="minorHAnsi" w:hAnsiTheme="minorHAnsi"/>
          <w:sz w:val="20"/>
          <w:szCs w:val="20"/>
        </w:rPr>
        <w:t xml:space="preserve"> po</w:t>
      </w:r>
      <w:r w:rsidR="00D425A5" w:rsidRPr="00491C91">
        <w:rPr>
          <w:rFonts w:asciiTheme="minorHAnsi" w:hAnsiTheme="minorHAnsi"/>
          <w:sz w:val="20"/>
          <w:szCs w:val="20"/>
        </w:rPr>
        <w:t>dle plánu výkonu služby v souladu s § 20 nařízení vlády č. 172/2001 Sb., k provedení zákona o požární ochraně, ve znění nařízení vlády č.</w:t>
      </w:r>
      <w:r w:rsidR="007C3B00">
        <w:rPr>
          <w:rFonts w:asciiTheme="minorHAnsi" w:hAnsiTheme="minorHAnsi"/>
          <w:sz w:val="20"/>
          <w:szCs w:val="20"/>
        </w:rPr>
        <w:t> </w:t>
      </w:r>
      <w:r w:rsidR="00D425A5" w:rsidRPr="00491C91">
        <w:rPr>
          <w:rFonts w:asciiTheme="minorHAnsi" w:hAnsiTheme="minorHAnsi"/>
          <w:sz w:val="20"/>
          <w:szCs w:val="20"/>
        </w:rPr>
        <w:t>498/2002 Sb</w:t>
      </w:r>
      <w:r w:rsidR="00B36A35">
        <w:rPr>
          <w:rFonts w:asciiTheme="minorHAnsi" w:hAnsiTheme="minorHAnsi"/>
          <w:sz w:val="20"/>
          <w:szCs w:val="20"/>
        </w:rPr>
        <w:t>.</w:t>
      </w:r>
      <w:r w:rsidR="00DE73D7">
        <w:rPr>
          <w:rFonts w:asciiTheme="minorHAnsi" w:hAnsiTheme="minorHAnsi"/>
          <w:sz w:val="20"/>
          <w:szCs w:val="20"/>
        </w:rPr>
        <w:t>, kterým se mění nařízení vlády č.</w:t>
      </w:r>
      <w:r w:rsidR="00B36A35">
        <w:rPr>
          <w:rFonts w:asciiTheme="minorHAnsi" w:hAnsiTheme="minorHAnsi"/>
          <w:sz w:val="20"/>
          <w:szCs w:val="20"/>
        </w:rPr>
        <w:t> </w:t>
      </w:r>
      <w:r w:rsidR="00DE73D7">
        <w:rPr>
          <w:rFonts w:asciiTheme="minorHAnsi" w:hAnsiTheme="minorHAnsi"/>
          <w:sz w:val="20"/>
          <w:szCs w:val="20"/>
        </w:rPr>
        <w:t>172/2001, k provedení zákona o požární ochraně</w:t>
      </w:r>
      <w:r w:rsidR="00D425A5" w:rsidRPr="00491C91">
        <w:rPr>
          <w:rFonts w:asciiTheme="minorHAnsi" w:hAnsiTheme="minorHAnsi"/>
          <w:sz w:val="20"/>
          <w:szCs w:val="20"/>
        </w:rPr>
        <w:t xml:space="preserve">. </w:t>
      </w:r>
      <w:r w:rsidR="00DE73D7">
        <w:rPr>
          <w:rFonts w:asciiTheme="minorHAnsi" w:hAnsiTheme="minorHAnsi"/>
          <w:sz w:val="20"/>
          <w:szCs w:val="20"/>
        </w:rPr>
        <w:t xml:space="preserve">Pokud nebude zabezpečena </w:t>
      </w:r>
      <w:r w:rsidR="00BB4F00">
        <w:rPr>
          <w:rFonts w:asciiTheme="minorHAnsi" w:hAnsiTheme="minorHAnsi"/>
          <w:sz w:val="20"/>
          <w:szCs w:val="20"/>
        </w:rPr>
        <w:t xml:space="preserve">tato </w:t>
      </w:r>
      <w:r w:rsidR="00DE73D7">
        <w:rPr>
          <w:rFonts w:asciiTheme="minorHAnsi" w:hAnsiTheme="minorHAnsi"/>
          <w:sz w:val="20"/>
          <w:szCs w:val="20"/>
        </w:rPr>
        <w:t>akceschopnost JPO II</w:t>
      </w:r>
      <w:r w:rsidR="00BB4F00">
        <w:rPr>
          <w:rFonts w:asciiTheme="minorHAnsi" w:hAnsiTheme="minorHAnsi"/>
          <w:sz w:val="20"/>
          <w:szCs w:val="20"/>
        </w:rPr>
        <w:t xml:space="preserve"> za období celého roku, dojde k</w:t>
      </w:r>
      <w:r w:rsidR="00531DA0">
        <w:rPr>
          <w:rFonts w:asciiTheme="minorHAnsi" w:hAnsiTheme="minorHAnsi"/>
          <w:sz w:val="20"/>
          <w:szCs w:val="20"/>
        </w:rPr>
        <w:t>e</w:t>
      </w:r>
      <w:r w:rsidR="00BB4F00">
        <w:rPr>
          <w:rFonts w:asciiTheme="minorHAnsi" w:hAnsiTheme="minorHAnsi"/>
          <w:sz w:val="20"/>
          <w:szCs w:val="20"/>
        </w:rPr>
        <w:t> krácení dotace pro obec o</w:t>
      </w:r>
      <w:r w:rsidR="002208BD">
        <w:rPr>
          <w:rFonts w:asciiTheme="minorHAnsi" w:hAnsiTheme="minorHAnsi"/>
          <w:sz w:val="20"/>
          <w:szCs w:val="20"/>
        </w:rPr>
        <w:t> </w:t>
      </w:r>
      <w:r w:rsidR="00BB4F00">
        <w:rPr>
          <w:rFonts w:asciiTheme="minorHAnsi" w:hAnsiTheme="minorHAnsi"/>
          <w:sz w:val="20"/>
          <w:szCs w:val="20"/>
        </w:rPr>
        <w:t>1/12 výši dotace za každý měsíc, kdy akceschopnost nebyla plně zajištěna.</w:t>
      </w:r>
      <w:r w:rsidR="00DE73D7">
        <w:rPr>
          <w:rFonts w:asciiTheme="minorHAnsi" w:hAnsiTheme="minorHAnsi"/>
          <w:sz w:val="20"/>
          <w:szCs w:val="20"/>
        </w:rPr>
        <w:t xml:space="preserve"> </w:t>
      </w:r>
    </w:p>
    <w:p w:rsidR="000072D6" w:rsidRPr="000072D6" w:rsidRDefault="000072D6" w:rsidP="000072D6">
      <w:pPr>
        <w:spacing w:before="120" w:after="0" w:line="240" w:lineRule="auto"/>
        <w:ind w:left="851"/>
        <w:jc w:val="both"/>
        <w:rPr>
          <w:rFonts w:asciiTheme="minorHAnsi" w:hAnsiTheme="minorHAnsi"/>
          <w:sz w:val="20"/>
          <w:szCs w:val="20"/>
        </w:rPr>
      </w:pPr>
      <w:r w:rsidRPr="000072D6">
        <w:rPr>
          <w:rFonts w:asciiTheme="minorHAnsi" w:hAnsiTheme="minorHAnsi"/>
          <w:sz w:val="20"/>
          <w:szCs w:val="20"/>
        </w:rPr>
        <w:t xml:space="preserve">Podíl obce na zabezpečení akceschopnosti </w:t>
      </w:r>
      <w:r w:rsidR="00054F42">
        <w:rPr>
          <w:rFonts w:asciiTheme="minorHAnsi" w:hAnsiTheme="minorHAnsi"/>
          <w:sz w:val="20"/>
          <w:szCs w:val="20"/>
        </w:rPr>
        <w:t xml:space="preserve">JPO II </w:t>
      </w:r>
      <w:r w:rsidRPr="000072D6">
        <w:rPr>
          <w:rFonts w:asciiTheme="minorHAnsi" w:hAnsiTheme="minorHAnsi"/>
          <w:sz w:val="20"/>
          <w:szCs w:val="20"/>
        </w:rPr>
        <w:t>z jejího rozpočtu činí minimálně 20 % celkové částky dotace na zabezpečení akceschopnosti JPO II.</w:t>
      </w:r>
    </w:p>
    <w:p w:rsidR="00054F42" w:rsidRDefault="00D425A5" w:rsidP="001B5D40">
      <w:pPr>
        <w:pStyle w:val="Zkladntext"/>
        <w:tabs>
          <w:tab w:val="num" w:pos="709"/>
        </w:tabs>
        <w:suppressAutoHyphens/>
        <w:spacing w:before="60"/>
        <w:ind w:left="851" w:hanging="425"/>
        <w:jc w:val="both"/>
        <w:rPr>
          <w:rFonts w:asciiTheme="minorHAnsi" w:hAnsiTheme="minorHAnsi"/>
          <w:sz w:val="20"/>
        </w:rPr>
      </w:pPr>
      <w:r w:rsidRPr="00491C91">
        <w:rPr>
          <w:rFonts w:asciiTheme="minorHAnsi" w:hAnsiTheme="minorHAnsi"/>
          <w:sz w:val="20"/>
        </w:rPr>
        <w:tab/>
      </w:r>
      <w:r w:rsidRPr="00491C91">
        <w:rPr>
          <w:rFonts w:asciiTheme="minorHAnsi" w:hAnsiTheme="minorHAnsi"/>
          <w:sz w:val="20"/>
        </w:rPr>
        <w:tab/>
        <w:t>Tato část účelové neinvestiční dotace může být čerp</w:t>
      </w:r>
      <w:r w:rsidR="00054F42">
        <w:rPr>
          <w:rFonts w:asciiTheme="minorHAnsi" w:hAnsiTheme="minorHAnsi"/>
          <w:sz w:val="20"/>
        </w:rPr>
        <w:t>á</w:t>
      </w:r>
      <w:r w:rsidRPr="00491C91">
        <w:rPr>
          <w:rFonts w:asciiTheme="minorHAnsi" w:hAnsiTheme="minorHAnsi"/>
          <w:sz w:val="20"/>
        </w:rPr>
        <w:t>n</w:t>
      </w:r>
      <w:r w:rsidR="00054F42">
        <w:rPr>
          <w:rFonts w:asciiTheme="minorHAnsi" w:hAnsiTheme="minorHAnsi"/>
          <w:sz w:val="20"/>
        </w:rPr>
        <w:t>a</w:t>
      </w:r>
      <w:r w:rsidRPr="00491C91">
        <w:rPr>
          <w:rFonts w:asciiTheme="minorHAnsi" w:hAnsiTheme="minorHAnsi"/>
          <w:sz w:val="20"/>
        </w:rPr>
        <w:t xml:space="preserve"> </w:t>
      </w:r>
      <w:proofErr w:type="gramStart"/>
      <w:r w:rsidRPr="00491C91">
        <w:rPr>
          <w:rFonts w:asciiTheme="minorHAnsi" w:hAnsiTheme="minorHAnsi"/>
          <w:sz w:val="20"/>
        </w:rPr>
        <w:t>na</w:t>
      </w:r>
      <w:proofErr w:type="gramEnd"/>
      <w:r w:rsidR="00054F42">
        <w:rPr>
          <w:rFonts w:asciiTheme="minorHAnsi" w:hAnsiTheme="minorHAnsi"/>
          <w:sz w:val="20"/>
        </w:rPr>
        <w:t>:</w:t>
      </w:r>
    </w:p>
    <w:p w:rsidR="000072D6" w:rsidRDefault="00D425A5" w:rsidP="000072D6">
      <w:pPr>
        <w:pStyle w:val="Zkladntext"/>
        <w:numPr>
          <w:ilvl w:val="1"/>
          <w:numId w:val="9"/>
        </w:numPr>
        <w:suppressAutoHyphens/>
        <w:spacing w:before="60"/>
        <w:jc w:val="both"/>
        <w:rPr>
          <w:rFonts w:asciiTheme="minorHAnsi" w:hAnsiTheme="minorHAnsi"/>
          <w:sz w:val="20"/>
        </w:rPr>
      </w:pPr>
      <w:r w:rsidRPr="00491C91">
        <w:rPr>
          <w:rFonts w:asciiTheme="minorHAnsi" w:hAnsiTheme="minorHAnsi"/>
          <w:sz w:val="20"/>
        </w:rPr>
        <w:t>neinvestiční opravy zásahové požární techniky</w:t>
      </w:r>
      <w:r w:rsidR="001B5D40" w:rsidRPr="00491C91">
        <w:rPr>
          <w:rFonts w:asciiTheme="minorHAnsi" w:hAnsiTheme="minorHAnsi"/>
          <w:sz w:val="20"/>
        </w:rPr>
        <w:t xml:space="preserve"> a věcných prostředků požární ochrany</w:t>
      </w:r>
      <w:r w:rsidRPr="00491C91">
        <w:rPr>
          <w:rFonts w:asciiTheme="minorHAnsi" w:hAnsiTheme="minorHAnsi"/>
          <w:sz w:val="20"/>
        </w:rPr>
        <w:t>, přípravu na technické prohlídky techniky, revize věcných prostředků a</w:t>
      </w:r>
      <w:r w:rsidR="00054F42">
        <w:rPr>
          <w:rFonts w:asciiTheme="minorHAnsi" w:hAnsiTheme="minorHAnsi"/>
          <w:sz w:val="20"/>
        </w:rPr>
        <w:t> </w:t>
      </w:r>
      <w:r w:rsidRPr="00491C91">
        <w:rPr>
          <w:rFonts w:asciiTheme="minorHAnsi" w:hAnsiTheme="minorHAnsi"/>
          <w:sz w:val="20"/>
        </w:rPr>
        <w:t xml:space="preserve">neinvestiční věcné vybavení jednotky, které je majetkem obce zřizující </w:t>
      </w:r>
      <w:r w:rsidR="00054F42">
        <w:rPr>
          <w:rFonts w:asciiTheme="minorHAnsi" w:hAnsiTheme="minorHAnsi"/>
          <w:sz w:val="20"/>
        </w:rPr>
        <w:t>JPO II a </w:t>
      </w:r>
      <w:r w:rsidR="006B283A" w:rsidRPr="00491C91">
        <w:rPr>
          <w:rFonts w:asciiTheme="minorHAnsi" w:hAnsiTheme="minorHAnsi"/>
          <w:sz w:val="20"/>
        </w:rPr>
        <w:t xml:space="preserve">ostatní provozní výdaje </w:t>
      </w:r>
      <w:r w:rsidR="001B5D40" w:rsidRPr="00491C91">
        <w:rPr>
          <w:rFonts w:asciiTheme="minorHAnsi" w:hAnsiTheme="minorHAnsi"/>
          <w:sz w:val="20"/>
        </w:rPr>
        <w:t>pro udržení akceschopnosti jednotky</w:t>
      </w:r>
      <w:r w:rsidR="00157921">
        <w:rPr>
          <w:rFonts w:asciiTheme="minorHAnsi" w:hAnsiTheme="minorHAnsi"/>
          <w:sz w:val="20"/>
        </w:rPr>
        <w:t>,</w:t>
      </w:r>
    </w:p>
    <w:p w:rsidR="000072D6" w:rsidRDefault="00157921" w:rsidP="000072D6">
      <w:pPr>
        <w:pStyle w:val="Zkladntext"/>
        <w:numPr>
          <w:ilvl w:val="1"/>
          <w:numId w:val="9"/>
        </w:numPr>
        <w:suppressAutoHyphens/>
        <w:spacing w:before="60"/>
        <w:jc w:val="both"/>
        <w:rPr>
          <w:rFonts w:asciiTheme="minorHAnsi" w:hAnsiTheme="minorHAnsi"/>
          <w:sz w:val="20"/>
        </w:rPr>
      </w:pPr>
      <w:r>
        <w:rPr>
          <w:rFonts w:asciiTheme="minorHAnsi" w:hAnsiTheme="minorHAnsi"/>
          <w:sz w:val="20"/>
        </w:rPr>
        <w:t>mzdové výdaje na pracovní pohotovost člena JPO II vykonávajícího službu v JPO II jako svoje zaměstnání, na odměny z dohod o pracích konaných mimo pracovní poměr (dohoda o provedení práce, dohoda o pracovní činnosti), na odměny členům JPO II, kteří mají s obcí uzavřenu dohodu o členství v JPO II podle zvláštního právního předpisu (zákon č.</w:t>
      </w:r>
      <w:r w:rsidR="00F93573">
        <w:rPr>
          <w:rFonts w:asciiTheme="minorHAnsi" w:hAnsiTheme="minorHAnsi"/>
          <w:sz w:val="20"/>
        </w:rPr>
        <w:t xml:space="preserve"> 89/2012 Sb., občanský zákoník).</w:t>
      </w:r>
    </w:p>
    <w:p w:rsidR="000072D6" w:rsidRDefault="00F93573" w:rsidP="000072D6">
      <w:pPr>
        <w:pStyle w:val="Zkladntext"/>
        <w:suppressAutoHyphens/>
        <w:spacing w:before="60"/>
        <w:ind w:left="851"/>
        <w:jc w:val="both"/>
        <w:rPr>
          <w:rFonts w:asciiTheme="minorHAnsi" w:hAnsiTheme="minorHAnsi"/>
          <w:sz w:val="20"/>
        </w:rPr>
      </w:pPr>
      <w:r>
        <w:rPr>
          <w:rFonts w:asciiTheme="minorHAnsi" w:hAnsiTheme="minorHAnsi"/>
          <w:sz w:val="20"/>
        </w:rPr>
        <w:t xml:space="preserve">Pokud nebude zabezpečena akceschopnost JPO II za období celého roku, </w:t>
      </w:r>
      <w:proofErr w:type="spellStart"/>
      <w:r>
        <w:rPr>
          <w:rFonts w:asciiTheme="minorHAnsi" w:hAnsiTheme="minorHAnsi"/>
          <w:sz w:val="20"/>
        </w:rPr>
        <w:t>pokrátí</w:t>
      </w:r>
      <w:proofErr w:type="spellEnd"/>
      <w:r>
        <w:rPr>
          <w:rFonts w:asciiTheme="minorHAnsi" w:hAnsiTheme="minorHAnsi"/>
          <w:sz w:val="20"/>
        </w:rPr>
        <w:t xml:space="preserve"> se poskytnutá dotace o 1/12 </w:t>
      </w:r>
      <w:r w:rsidR="007C3B00">
        <w:rPr>
          <w:rFonts w:asciiTheme="minorHAnsi" w:hAnsiTheme="minorHAnsi"/>
          <w:sz w:val="20"/>
        </w:rPr>
        <w:t xml:space="preserve">za každý kalendářní měsíc, ve kterém nebyla akceschopnost JPO II plně zajištěna. </w:t>
      </w:r>
      <w:r w:rsidR="00157921">
        <w:rPr>
          <w:rFonts w:asciiTheme="minorHAnsi" w:hAnsiTheme="minorHAnsi"/>
          <w:sz w:val="20"/>
        </w:rPr>
        <w:t xml:space="preserve"> </w:t>
      </w:r>
      <w:r w:rsidR="00D425A5" w:rsidRPr="00491C91">
        <w:rPr>
          <w:rFonts w:asciiTheme="minorHAnsi" w:hAnsiTheme="minorHAnsi"/>
          <w:sz w:val="20"/>
        </w:rPr>
        <w:t xml:space="preserve"> </w:t>
      </w:r>
    </w:p>
    <w:p w:rsidR="007C3B00" w:rsidRPr="002208BD" w:rsidRDefault="000072D6" w:rsidP="001B5D40">
      <w:pPr>
        <w:pStyle w:val="Zkladntext"/>
        <w:numPr>
          <w:ilvl w:val="0"/>
          <w:numId w:val="9"/>
        </w:numPr>
        <w:suppressAutoHyphens/>
        <w:spacing w:before="60"/>
        <w:ind w:left="851"/>
        <w:jc w:val="both"/>
        <w:rPr>
          <w:rFonts w:asciiTheme="minorHAnsi" w:hAnsiTheme="minorHAnsi"/>
          <w:b/>
          <w:i/>
          <w:sz w:val="20"/>
        </w:rPr>
      </w:pPr>
      <w:r w:rsidRPr="000072D6">
        <w:rPr>
          <w:rFonts w:asciiTheme="minorHAnsi" w:hAnsiTheme="minorHAnsi"/>
          <w:b/>
          <w:i/>
          <w:sz w:val="20"/>
        </w:rPr>
        <w:t xml:space="preserve">mzdové výdaje a zákonné pojištění členům vykonávajícím službu v JPO II nebo JPO kategorie III (dále jen „JPO III“) jako svoje zaměstnání v pracovním poměru podle ČÁSTI DRUHÉ, HLAVY II zákona č. 262/2006 Sb., zákoník práce, ve znění pozdějších předpisů (dále jen „zákoník práce“). Minimální rozsah pracovního úvazku musí činit 40 % plné týdenní pracovní doby, s pracovní náplní zaměřenou na požární ochranu. </w:t>
      </w:r>
    </w:p>
    <w:p w:rsidR="000072D6" w:rsidRDefault="00C6220B" w:rsidP="000072D6">
      <w:pPr>
        <w:pStyle w:val="Zkladntext"/>
        <w:suppressAutoHyphens/>
        <w:spacing w:before="60"/>
        <w:ind w:left="851"/>
        <w:jc w:val="both"/>
        <w:rPr>
          <w:rFonts w:asciiTheme="minorHAnsi" w:hAnsiTheme="minorHAnsi"/>
          <w:sz w:val="20"/>
        </w:rPr>
      </w:pPr>
      <w:r>
        <w:rPr>
          <w:rFonts w:asciiTheme="minorHAnsi" w:hAnsiTheme="minorHAnsi"/>
          <w:sz w:val="20"/>
        </w:rPr>
        <w:t xml:space="preserve">Pokud člen JPO II a JPO III </w:t>
      </w:r>
      <w:r w:rsidR="00F93573">
        <w:rPr>
          <w:rFonts w:asciiTheme="minorHAnsi" w:hAnsiTheme="minorHAnsi"/>
          <w:sz w:val="20"/>
        </w:rPr>
        <w:t>nebude vykonávat službu v</w:t>
      </w:r>
      <w:r w:rsidR="007C3B00">
        <w:rPr>
          <w:rFonts w:asciiTheme="minorHAnsi" w:hAnsiTheme="minorHAnsi"/>
          <w:sz w:val="20"/>
        </w:rPr>
        <w:t> těchto JPO</w:t>
      </w:r>
      <w:r w:rsidR="00F93573">
        <w:rPr>
          <w:rFonts w:asciiTheme="minorHAnsi" w:hAnsiTheme="minorHAnsi"/>
          <w:sz w:val="20"/>
        </w:rPr>
        <w:t xml:space="preserve"> jako svoje zaměstnání podle zákoníku práce po období celého roku, </w:t>
      </w:r>
      <w:proofErr w:type="spellStart"/>
      <w:r w:rsidR="007C3B00">
        <w:rPr>
          <w:rFonts w:asciiTheme="minorHAnsi" w:hAnsiTheme="minorHAnsi"/>
          <w:sz w:val="20"/>
        </w:rPr>
        <w:t>pokrátí</w:t>
      </w:r>
      <w:proofErr w:type="spellEnd"/>
      <w:r w:rsidR="007C3B00">
        <w:rPr>
          <w:rFonts w:asciiTheme="minorHAnsi" w:hAnsiTheme="minorHAnsi"/>
          <w:sz w:val="20"/>
        </w:rPr>
        <w:t xml:space="preserve"> se dotace o 1/12 za každý kalendářní měsíc, ve kterém nebyla akceschopnost JPO II a JPO III plně zajištěna.</w:t>
      </w:r>
    </w:p>
    <w:p w:rsidR="000072D6" w:rsidRDefault="00D425A5" w:rsidP="000072D6">
      <w:pPr>
        <w:pStyle w:val="Zkladntext"/>
        <w:suppressAutoHyphens/>
        <w:spacing w:before="60"/>
        <w:ind w:left="851"/>
        <w:jc w:val="both"/>
        <w:rPr>
          <w:rFonts w:asciiTheme="minorHAnsi" w:hAnsiTheme="minorHAnsi"/>
          <w:sz w:val="20"/>
        </w:rPr>
      </w:pPr>
      <w:r w:rsidRPr="00491C91">
        <w:rPr>
          <w:rFonts w:asciiTheme="minorHAnsi" w:hAnsiTheme="minorHAnsi"/>
          <w:sz w:val="20"/>
        </w:rPr>
        <w:t>Podíl obce na mzdové</w:t>
      </w:r>
      <w:r w:rsidR="008209EB" w:rsidRPr="00491C91">
        <w:rPr>
          <w:rFonts w:asciiTheme="minorHAnsi" w:hAnsiTheme="minorHAnsi"/>
          <w:sz w:val="20"/>
        </w:rPr>
        <w:t>m</w:t>
      </w:r>
      <w:r w:rsidRPr="00491C91">
        <w:rPr>
          <w:rFonts w:asciiTheme="minorHAnsi" w:hAnsiTheme="minorHAnsi"/>
          <w:sz w:val="20"/>
        </w:rPr>
        <w:t xml:space="preserve"> a</w:t>
      </w:r>
      <w:r w:rsidR="007C3B00">
        <w:rPr>
          <w:rFonts w:asciiTheme="minorHAnsi" w:hAnsiTheme="minorHAnsi"/>
          <w:sz w:val="20"/>
        </w:rPr>
        <w:t> </w:t>
      </w:r>
      <w:r w:rsidRPr="00491C91">
        <w:rPr>
          <w:rFonts w:asciiTheme="minorHAnsi" w:hAnsiTheme="minorHAnsi"/>
          <w:sz w:val="20"/>
        </w:rPr>
        <w:t>zákonné</w:t>
      </w:r>
      <w:r w:rsidR="008209EB" w:rsidRPr="00491C91">
        <w:rPr>
          <w:rFonts w:asciiTheme="minorHAnsi" w:hAnsiTheme="minorHAnsi"/>
          <w:sz w:val="20"/>
        </w:rPr>
        <w:t>m pojištění členů</w:t>
      </w:r>
      <w:r w:rsidRPr="00491C91">
        <w:rPr>
          <w:rFonts w:asciiTheme="minorHAnsi" w:hAnsiTheme="minorHAnsi"/>
          <w:sz w:val="20"/>
        </w:rPr>
        <w:t xml:space="preserve"> </w:t>
      </w:r>
      <w:r w:rsidR="007C3B00">
        <w:rPr>
          <w:rFonts w:asciiTheme="minorHAnsi" w:hAnsiTheme="minorHAnsi"/>
          <w:sz w:val="20"/>
        </w:rPr>
        <w:t xml:space="preserve">JPO II a JPO III </w:t>
      </w:r>
      <w:r w:rsidRPr="00491C91">
        <w:rPr>
          <w:rFonts w:asciiTheme="minorHAnsi" w:hAnsiTheme="minorHAnsi"/>
          <w:sz w:val="20"/>
        </w:rPr>
        <w:t>z jejího rozpočtu činí minimálně 10</w:t>
      </w:r>
      <w:r w:rsidR="007C3B00">
        <w:rPr>
          <w:rFonts w:asciiTheme="minorHAnsi" w:hAnsiTheme="minorHAnsi"/>
          <w:sz w:val="20"/>
        </w:rPr>
        <w:t> </w:t>
      </w:r>
      <w:r w:rsidRPr="00491C91">
        <w:rPr>
          <w:rFonts w:asciiTheme="minorHAnsi" w:hAnsiTheme="minorHAnsi"/>
          <w:sz w:val="20"/>
        </w:rPr>
        <w:t xml:space="preserve">% celkové </w:t>
      </w:r>
      <w:r w:rsidR="008209EB" w:rsidRPr="00491C91">
        <w:rPr>
          <w:rFonts w:asciiTheme="minorHAnsi" w:hAnsiTheme="minorHAnsi"/>
          <w:sz w:val="20"/>
        </w:rPr>
        <w:t xml:space="preserve">poskytované </w:t>
      </w:r>
      <w:r w:rsidRPr="00491C91">
        <w:rPr>
          <w:rFonts w:asciiTheme="minorHAnsi" w:hAnsiTheme="minorHAnsi"/>
          <w:sz w:val="20"/>
        </w:rPr>
        <w:t xml:space="preserve">dotace na 1 člena </w:t>
      </w:r>
      <w:r w:rsidR="007C3B00">
        <w:rPr>
          <w:rFonts w:asciiTheme="minorHAnsi" w:hAnsiTheme="minorHAnsi"/>
          <w:sz w:val="20"/>
        </w:rPr>
        <w:t>těchto JPO</w:t>
      </w:r>
      <w:r w:rsidRPr="00491C91">
        <w:rPr>
          <w:rFonts w:asciiTheme="minorHAnsi" w:hAnsiTheme="minorHAnsi"/>
          <w:sz w:val="20"/>
        </w:rPr>
        <w:t>.</w:t>
      </w:r>
    </w:p>
    <w:p w:rsidR="007207FD" w:rsidRPr="00491C91" w:rsidRDefault="007207FD" w:rsidP="00FC086E">
      <w:pPr>
        <w:pStyle w:val="Zkladntext"/>
        <w:numPr>
          <w:ilvl w:val="0"/>
          <w:numId w:val="1"/>
        </w:numPr>
        <w:tabs>
          <w:tab w:val="left" w:pos="426"/>
        </w:tabs>
        <w:spacing w:before="120"/>
        <w:ind w:left="426"/>
        <w:jc w:val="both"/>
        <w:rPr>
          <w:rFonts w:asciiTheme="minorHAnsi" w:hAnsiTheme="minorHAnsi"/>
          <w:sz w:val="20"/>
        </w:rPr>
      </w:pPr>
      <w:r w:rsidRPr="00491C91">
        <w:rPr>
          <w:rFonts w:asciiTheme="minorHAnsi" w:hAnsiTheme="minorHAnsi"/>
          <w:sz w:val="20"/>
        </w:rPr>
        <w:t>Příjemce dotaci přijímá a zavazuje se, že bude projekt realizovat na svou vlastní zodpovědnost, v souladu s právními předpisy a s podmínkami této smlouvy.</w:t>
      </w:r>
    </w:p>
    <w:p w:rsidR="007207FD" w:rsidRPr="00491C91" w:rsidRDefault="007207FD" w:rsidP="007207FD">
      <w:pPr>
        <w:pStyle w:val="Odstavecseseznamem"/>
        <w:numPr>
          <w:ilvl w:val="0"/>
          <w:numId w:val="1"/>
        </w:numPr>
        <w:spacing w:before="120" w:after="0" w:line="240" w:lineRule="auto"/>
        <w:ind w:left="425" w:hanging="425"/>
        <w:contextualSpacing w:val="0"/>
        <w:jc w:val="both"/>
        <w:rPr>
          <w:rFonts w:asciiTheme="minorHAnsi" w:hAnsiTheme="minorHAnsi"/>
          <w:sz w:val="20"/>
          <w:szCs w:val="20"/>
        </w:rPr>
      </w:pPr>
      <w:r w:rsidRPr="00491C91">
        <w:rPr>
          <w:rFonts w:asciiTheme="minorHAnsi" w:hAnsiTheme="minorHAnsi"/>
          <w:sz w:val="20"/>
          <w:szCs w:val="20"/>
        </w:rPr>
        <w:t xml:space="preserve">Poskytnutí dotace je v souladu se zákonem č. 129/2000 Sb., o krajích (krajské zřízení), </w:t>
      </w:r>
      <w:r w:rsidR="00E45450">
        <w:rPr>
          <w:rFonts w:asciiTheme="minorHAnsi" w:hAnsiTheme="minorHAnsi"/>
          <w:sz w:val="20"/>
          <w:szCs w:val="20"/>
        </w:rPr>
        <w:t>ve znění pozdějších předpisů</w:t>
      </w:r>
      <w:r w:rsidR="00673E2C">
        <w:rPr>
          <w:rFonts w:asciiTheme="minorHAnsi" w:hAnsiTheme="minorHAnsi"/>
          <w:sz w:val="20"/>
          <w:szCs w:val="20"/>
        </w:rPr>
        <w:t xml:space="preserve"> (dále jen „zákon o krajích“)</w:t>
      </w:r>
      <w:r w:rsidR="00E45450">
        <w:rPr>
          <w:rFonts w:asciiTheme="minorHAnsi" w:hAnsiTheme="minorHAnsi"/>
          <w:sz w:val="20"/>
          <w:szCs w:val="20"/>
        </w:rPr>
        <w:t xml:space="preserve">, </w:t>
      </w:r>
      <w:r w:rsidR="00252D79" w:rsidRPr="00491C91">
        <w:rPr>
          <w:rFonts w:asciiTheme="minorHAnsi" w:hAnsiTheme="minorHAnsi"/>
          <w:sz w:val="20"/>
          <w:szCs w:val="20"/>
        </w:rPr>
        <w:t>zákonem č. </w:t>
      </w:r>
      <w:r w:rsidRPr="00491C91">
        <w:rPr>
          <w:rFonts w:asciiTheme="minorHAnsi" w:hAnsiTheme="minorHAnsi"/>
          <w:sz w:val="20"/>
          <w:szCs w:val="20"/>
        </w:rPr>
        <w:t>218/2000 Sb., o rozpočto</w:t>
      </w:r>
      <w:r w:rsidR="00E45450">
        <w:rPr>
          <w:rFonts w:asciiTheme="minorHAnsi" w:hAnsiTheme="minorHAnsi"/>
          <w:sz w:val="20"/>
          <w:szCs w:val="20"/>
        </w:rPr>
        <w:t>v</w:t>
      </w:r>
      <w:r w:rsidRPr="00491C91">
        <w:rPr>
          <w:rFonts w:asciiTheme="minorHAnsi" w:hAnsiTheme="minorHAnsi"/>
          <w:sz w:val="20"/>
          <w:szCs w:val="20"/>
        </w:rPr>
        <w:t>ých pravidlech</w:t>
      </w:r>
      <w:r w:rsidR="00252D79" w:rsidRPr="00491C91">
        <w:rPr>
          <w:rFonts w:asciiTheme="minorHAnsi" w:hAnsiTheme="minorHAnsi"/>
          <w:sz w:val="20"/>
          <w:szCs w:val="20"/>
        </w:rPr>
        <w:t xml:space="preserve"> </w:t>
      </w:r>
      <w:r w:rsidRPr="00491C91">
        <w:rPr>
          <w:rFonts w:asciiTheme="minorHAnsi" w:hAnsiTheme="minorHAnsi"/>
          <w:sz w:val="20"/>
          <w:szCs w:val="20"/>
        </w:rPr>
        <w:t>a o změně n</w:t>
      </w:r>
      <w:r w:rsidR="000C6910" w:rsidRPr="00491C91">
        <w:rPr>
          <w:rFonts w:asciiTheme="minorHAnsi" w:hAnsiTheme="minorHAnsi"/>
          <w:sz w:val="20"/>
          <w:szCs w:val="20"/>
        </w:rPr>
        <w:t>ěkterých souvisejících zákonů (</w:t>
      </w:r>
      <w:r w:rsidRPr="00491C91">
        <w:rPr>
          <w:rFonts w:asciiTheme="minorHAnsi" w:hAnsiTheme="minorHAnsi"/>
          <w:sz w:val="20"/>
          <w:szCs w:val="20"/>
        </w:rPr>
        <w:t>rozpočtová pravidla)</w:t>
      </w:r>
      <w:r w:rsidR="00E45450">
        <w:rPr>
          <w:rFonts w:asciiTheme="minorHAnsi" w:hAnsiTheme="minorHAnsi"/>
          <w:sz w:val="20"/>
          <w:szCs w:val="20"/>
        </w:rPr>
        <w:t>, ve znění pozdějších předpisů,</w:t>
      </w:r>
      <w:r w:rsidRPr="00491C91">
        <w:rPr>
          <w:rFonts w:asciiTheme="minorHAnsi" w:hAnsiTheme="minorHAnsi"/>
          <w:sz w:val="20"/>
          <w:szCs w:val="20"/>
        </w:rPr>
        <w:t xml:space="preserve"> zákonem </w:t>
      </w:r>
      <w:r w:rsidR="00A24D05">
        <w:rPr>
          <w:rFonts w:asciiTheme="minorHAnsi" w:hAnsiTheme="minorHAnsi"/>
          <w:sz w:val="20"/>
          <w:szCs w:val="20"/>
        </w:rPr>
        <w:br/>
      </w:r>
      <w:r w:rsidRPr="00491C91">
        <w:rPr>
          <w:rFonts w:asciiTheme="minorHAnsi" w:hAnsiTheme="minorHAnsi"/>
          <w:sz w:val="20"/>
          <w:szCs w:val="20"/>
        </w:rPr>
        <w:t>č.</w:t>
      </w:r>
      <w:r w:rsidR="00E45450">
        <w:rPr>
          <w:rFonts w:asciiTheme="minorHAnsi" w:hAnsiTheme="minorHAnsi"/>
          <w:sz w:val="20"/>
          <w:szCs w:val="20"/>
        </w:rPr>
        <w:t xml:space="preserve"> </w:t>
      </w:r>
      <w:r w:rsidRPr="00491C91">
        <w:rPr>
          <w:rFonts w:asciiTheme="minorHAnsi" w:hAnsiTheme="minorHAnsi"/>
          <w:sz w:val="20"/>
          <w:szCs w:val="20"/>
        </w:rPr>
        <w:t>250/2000 Sb., o rozpočtových pravidlech územních rozpočtů, ve znění pozdějších předpisů</w:t>
      </w:r>
      <w:r w:rsidR="00992477">
        <w:rPr>
          <w:rFonts w:asciiTheme="minorHAnsi" w:hAnsiTheme="minorHAnsi"/>
          <w:sz w:val="20"/>
          <w:szCs w:val="20"/>
        </w:rPr>
        <w:t xml:space="preserve"> (dále jen „zákon č. 250/2000 Sb.)</w:t>
      </w:r>
      <w:r w:rsidR="00E45450">
        <w:rPr>
          <w:rFonts w:asciiTheme="minorHAnsi" w:hAnsiTheme="minorHAnsi"/>
          <w:sz w:val="20"/>
          <w:szCs w:val="20"/>
        </w:rPr>
        <w:t>,</w:t>
      </w:r>
      <w:r w:rsidRPr="00491C91">
        <w:rPr>
          <w:rFonts w:asciiTheme="minorHAnsi" w:hAnsiTheme="minorHAnsi"/>
          <w:sz w:val="20"/>
          <w:szCs w:val="20"/>
        </w:rPr>
        <w:t xml:space="preserve"> a zákonem č. 133/1985 Sb., o požární ochraně, ve znění pozdějších předpisů</w:t>
      </w:r>
      <w:r w:rsidR="001C3323" w:rsidRPr="00491C91">
        <w:rPr>
          <w:rFonts w:asciiTheme="minorHAnsi" w:hAnsiTheme="minorHAnsi"/>
          <w:sz w:val="20"/>
          <w:szCs w:val="20"/>
        </w:rPr>
        <w:t>, v souladu s</w:t>
      </w:r>
      <w:r w:rsidR="00F7783C">
        <w:rPr>
          <w:rFonts w:asciiTheme="minorHAnsi" w:hAnsiTheme="minorHAnsi"/>
          <w:sz w:val="20"/>
          <w:szCs w:val="20"/>
        </w:rPr>
        <w:t xml:space="preserve"> platnými </w:t>
      </w:r>
      <w:r w:rsidR="001C3323" w:rsidRPr="00491C91">
        <w:rPr>
          <w:rFonts w:asciiTheme="minorHAnsi" w:hAnsiTheme="minorHAnsi"/>
          <w:sz w:val="20"/>
          <w:szCs w:val="20"/>
        </w:rPr>
        <w:t xml:space="preserve">„Pravidly pro </w:t>
      </w:r>
      <w:r w:rsidR="00E45450">
        <w:rPr>
          <w:rFonts w:asciiTheme="minorHAnsi" w:hAnsiTheme="minorHAnsi"/>
          <w:sz w:val="20"/>
          <w:szCs w:val="20"/>
        </w:rPr>
        <w:t>poskytování a čerpání</w:t>
      </w:r>
      <w:r w:rsidR="001C3323" w:rsidRPr="00491C91">
        <w:rPr>
          <w:rFonts w:asciiTheme="minorHAnsi" w:hAnsiTheme="minorHAnsi"/>
          <w:sz w:val="20"/>
          <w:szCs w:val="20"/>
        </w:rPr>
        <w:t xml:space="preserve"> účelové neinvestiční dotace na výdaje jednotek sborů dobrovolných hasičů obcí Král</w:t>
      </w:r>
      <w:r w:rsidR="00E45450">
        <w:rPr>
          <w:rFonts w:asciiTheme="minorHAnsi" w:hAnsiTheme="minorHAnsi"/>
          <w:sz w:val="20"/>
          <w:szCs w:val="20"/>
        </w:rPr>
        <w:t>o</w:t>
      </w:r>
      <w:r w:rsidR="001C3323" w:rsidRPr="00491C91">
        <w:rPr>
          <w:rFonts w:asciiTheme="minorHAnsi" w:hAnsiTheme="minorHAnsi"/>
          <w:sz w:val="20"/>
          <w:szCs w:val="20"/>
        </w:rPr>
        <w:t>v</w:t>
      </w:r>
      <w:r w:rsidR="00E45450">
        <w:rPr>
          <w:rFonts w:asciiTheme="minorHAnsi" w:hAnsiTheme="minorHAnsi"/>
          <w:sz w:val="20"/>
          <w:szCs w:val="20"/>
        </w:rPr>
        <w:t>é</w:t>
      </w:r>
      <w:r w:rsidR="001C3323" w:rsidRPr="00491C91">
        <w:rPr>
          <w:rFonts w:asciiTheme="minorHAnsi" w:hAnsiTheme="minorHAnsi"/>
          <w:sz w:val="20"/>
          <w:szCs w:val="20"/>
        </w:rPr>
        <w:t>hradecké</w:t>
      </w:r>
      <w:r w:rsidR="006E2209" w:rsidRPr="00491C91">
        <w:rPr>
          <w:rFonts w:asciiTheme="minorHAnsi" w:hAnsiTheme="minorHAnsi"/>
          <w:sz w:val="20"/>
          <w:szCs w:val="20"/>
        </w:rPr>
        <w:t>ho kraje na rok 201</w:t>
      </w:r>
      <w:r w:rsidR="00E45450">
        <w:rPr>
          <w:rFonts w:asciiTheme="minorHAnsi" w:hAnsiTheme="minorHAnsi"/>
          <w:sz w:val="20"/>
          <w:szCs w:val="20"/>
        </w:rPr>
        <w:t>4</w:t>
      </w:r>
      <w:r w:rsidR="006E2209" w:rsidRPr="00491C91">
        <w:rPr>
          <w:rFonts w:asciiTheme="minorHAnsi" w:hAnsiTheme="minorHAnsi"/>
          <w:sz w:val="20"/>
          <w:szCs w:val="20"/>
        </w:rPr>
        <w:t xml:space="preserve"> schválené u</w:t>
      </w:r>
      <w:r w:rsidR="001C3323" w:rsidRPr="00491C91">
        <w:rPr>
          <w:rFonts w:asciiTheme="minorHAnsi" w:hAnsiTheme="minorHAnsi"/>
          <w:sz w:val="20"/>
          <w:szCs w:val="20"/>
        </w:rPr>
        <w:t>snesením Zastupitelstva Královéhradeckého kraje dne</w:t>
      </w:r>
      <w:r w:rsidR="003D1290">
        <w:rPr>
          <w:rFonts w:asciiTheme="minorHAnsi" w:hAnsiTheme="minorHAnsi"/>
          <w:sz w:val="20"/>
          <w:szCs w:val="20"/>
        </w:rPr>
        <w:t xml:space="preserve"> </w:t>
      </w:r>
      <w:proofErr w:type="spellStart"/>
      <w:r w:rsidR="003D1290" w:rsidRPr="00EE0542">
        <w:rPr>
          <w:rFonts w:asciiTheme="minorHAnsi" w:hAnsiTheme="minorHAnsi"/>
          <w:sz w:val="20"/>
          <w:szCs w:val="20"/>
          <w:highlight w:val="yellow"/>
        </w:rPr>
        <w:t>xxxx</w:t>
      </w:r>
      <w:proofErr w:type="spellEnd"/>
      <w:r w:rsidR="001C3323" w:rsidRPr="00491C91">
        <w:rPr>
          <w:rFonts w:asciiTheme="minorHAnsi" w:hAnsiTheme="minorHAnsi"/>
          <w:sz w:val="20"/>
          <w:szCs w:val="20"/>
        </w:rPr>
        <w:t xml:space="preserve"> č. </w:t>
      </w:r>
      <w:r w:rsidR="001C3323" w:rsidRPr="003634AA">
        <w:rPr>
          <w:rFonts w:asciiTheme="minorHAnsi" w:hAnsiTheme="minorHAnsi"/>
          <w:sz w:val="20"/>
          <w:szCs w:val="20"/>
        </w:rPr>
        <w:t>usnesení</w:t>
      </w:r>
      <w:r w:rsidR="003D1290" w:rsidRPr="003634AA">
        <w:rPr>
          <w:rFonts w:asciiTheme="minorHAnsi" w:hAnsiTheme="minorHAnsi"/>
          <w:sz w:val="20"/>
          <w:szCs w:val="20"/>
        </w:rPr>
        <w:t xml:space="preserve"> </w:t>
      </w:r>
      <w:proofErr w:type="spellStart"/>
      <w:r w:rsidR="003D1290" w:rsidRPr="00EE0542">
        <w:rPr>
          <w:rFonts w:asciiTheme="minorHAnsi" w:hAnsiTheme="minorHAnsi"/>
          <w:sz w:val="20"/>
          <w:szCs w:val="20"/>
          <w:highlight w:val="yellow"/>
        </w:rPr>
        <w:t>xxxx</w:t>
      </w:r>
      <w:proofErr w:type="spellEnd"/>
      <w:r w:rsidR="003D1290">
        <w:rPr>
          <w:rFonts w:asciiTheme="minorHAnsi" w:hAnsiTheme="minorHAnsi"/>
          <w:sz w:val="20"/>
          <w:szCs w:val="20"/>
        </w:rPr>
        <w:t xml:space="preserve"> </w:t>
      </w:r>
      <w:r w:rsidR="001C3323" w:rsidRPr="00491C91">
        <w:rPr>
          <w:rFonts w:asciiTheme="minorHAnsi" w:hAnsiTheme="minorHAnsi"/>
          <w:sz w:val="20"/>
          <w:szCs w:val="20"/>
        </w:rPr>
        <w:t>(dále jen „Pravidla“)</w:t>
      </w:r>
      <w:r w:rsidRPr="00491C91">
        <w:rPr>
          <w:rFonts w:asciiTheme="minorHAnsi" w:hAnsiTheme="minorHAnsi"/>
          <w:sz w:val="20"/>
          <w:szCs w:val="20"/>
        </w:rPr>
        <w:t>.</w:t>
      </w:r>
    </w:p>
    <w:p w:rsidR="007207FD" w:rsidRPr="00491C91" w:rsidRDefault="007207FD" w:rsidP="007207FD">
      <w:pPr>
        <w:pStyle w:val="Odstavecseseznamem"/>
        <w:numPr>
          <w:ilvl w:val="0"/>
          <w:numId w:val="1"/>
        </w:numPr>
        <w:spacing w:before="120" w:after="0" w:line="240" w:lineRule="auto"/>
        <w:ind w:left="425" w:hanging="425"/>
        <w:contextualSpacing w:val="0"/>
        <w:jc w:val="both"/>
        <w:rPr>
          <w:rFonts w:asciiTheme="minorHAnsi" w:hAnsiTheme="minorHAnsi"/>
          <w:sz w:val="20"/>
          <w:szCs w:val="20"/>
        </w:rPr>
      </w:pPr>
      <w:r w:rsidRPr="00491C91">
        <w:rPr>
          <w:rFonts w:ascii="Calibri" w:hAnsi="Calibri"/>
          <w:sz w:val="20"/>
          <w:szCs w:val="20"/>
        </w:rPr>
        <w:t>Dotace je ve smyslu zákona č. 320/2001 Sb., o finanční kontrole ve veřejné správě a o změně některých zákonů (zákon o finanční kontrole), ve znění pozdějších předpisů</w:t>
      </w:r>
      <w:r w:rsidR="007B25AE">
        <w:rPr>
          <w:rFonts w:ascii="Calibri" w:hAnsi="Calibri"/>
          <w:sz w:val="20"/>
          <w:szCs w:val="20"/>
        </w:rPr>
        <w:t xml:space="preserve"> (dále jen „zákon o finanční kontrole“)</w:t>
      </w:r>
      <w:r w:rsidRPr="00491C91">
        <w:rPr>
          <w:rFonts w:ascii="Calibri" w:hAnsi="Calibri"/>
          <w:sz w:val="20"/>
          <w:szCs w:val="20"/>
        </w:rPr>
        <w:t>, veřejnou finanční podporou a vztahují se na ni všechna ustanovení tohoto zákona.</w:t>
      </w:r>
    </w:p>
    <w:p w:rsidR="007207FD" w:rsidRPr="00491C91" w:rsidRDefault="007207FD" w:rsidP="007207FD">
      <w:pPr>
        <w:pStyle w:val="Odstavecseseznamem"/>
        <w:numPr>
          <w:ilvl w:val="0"/>
          <w:numId w:val="1"/>
        </w:numPr>
        <w:spacing w:before="120" w:after="0" w:line="240" w:lineRule="auto"/>
        <w:ind w:left="425" w:hanging="425"/>
        <w:contextualSpacing w:val="0"/>
        <w:jc w:val="both"/>
        <w:rPr>
          <w:rFonts w:asciiTheme="minorHAnsi" w:hAnsiTheme="minorHAnsi"/>
          <w:sz w:val="20"/>
          <w:szCs w:val="20"/>
        </w:rPr>
      </w:pPr>
      <w:r w:rsidRPr="00491C91">
        <w:rPr>
          <w:rFonts w:ascii="Calibri" w:hAnsi="Calibri"/>
          <w:sz w:val="20"/>
          <w:szCs w:val="20"/>
        </w:rPr>
        <w:lastRenderedPageBreak/>
        <w:t>Dotace je slučitelná s podporou poskytnutou z rozpočtu jiných územních samosprávných celků, státního rozpočtu nebo strukturálních fondů Evropské unie, pokud to pravidla pro poskytnutí těchto podpor nevylučují.</w:t>
      </w:r>
    </w:p>
    <w:p w:rsidR="00946947" w:rsidRPr="00491C91" w:rsidRDefault="00946947" w:rsidP="00946947">
      <w:pPr>
        <w:spacing w:after="0" w:line="240" w:lineRule="auto"/>
        <w:jc w:val="center"/>
      </w:pPr>
    </w:p>
    <w:p w:rsidR="006F3276" w:rsidRPr="00491C91" w:rsidRDefault="006F3276" w:rsidP="006F3276">
      <w:pPr>
        <w:pStyle w:val="Odstavecseseznamem"/>
        <w:spacing w:before="120" w:after="0" w:line="240" w:lineRule="auto"/>
        <w:ind w:left="0"/>
        <w:jc w:val="center"/>
        <w:rPr>
          <w:rFonts w:asciiTheme="minorHAnsi" w:hAnsiTheme="minorHAnsi"/>
          <w:b/>
          <w:sz w:val="20"/>
          <w:szCs w:val="20"/>
        </w:rPr>
      </w:pPr>
      <w:r w:rsidRPr="00491C91">
        <w:rPr>
          <w:rFonts w:asciiTheme="minorHAnsi" w:hAnsiTheme="minorHAnsi"/>
          <w:b/>
          <w:sz w:val="20"/>
          <w:szCs w:val="20"/>
        </w:rPr>
        <w:t>II.</w:t>
      </w:r>
    </w:p>
    <w:p w:rsidR="006F3276" w:rsidRPr="00491C91" w:rsidRDefault="006F3276" w:rsidP="006F3276">
      <w:pPr>
        <w:pStyle w:val="Odstavecseseznamem"/>
        <w:spacing w:after="0" w:line="240" w:lineRule="auto"/>
        <w:ind w:left="0"/>
        <w:jc w:val="center"/>
        <w:rPr>
          <w:rFonts w:asciiTheme="minorHAnsi" w:hAnsiTheme="minorHAnsi"/>
          <w:sz w:val="20"/>
          <w:szCs w:val="20"/>
        </w:rPr>
      </w:pPr>
      <w:r w:rsidRPr="00491C91">
        <w:rPr>
          <w:rFonts w:asciiTheme="minorHAnsi" w:hAnsiTheme="minorHAnsi"/>
          <w:b/>
          <w:sz w:val="20"/>
          <w:szCs w:val="20"/>
        </w:rPr>
        <w:t>Výše a způsob poskytnutí dotace</w:t>
      </w:r>
    </w:p>
    <w:p w:rsidR="00D56F59" w:rsidRDefault="006F3276" w:rsidP="006F3276">
      <w:pPr>
        <w:pStyle w:val="Odstavecseseznamem"/>
        <w:numPr>
          <w:ilvl w:val="0"/>
          <w:numId w:val="3"/>
        </w:numPr>
        <w:spacing w:before="120" w:after="0" w:line="240" w:lineRule="auto"/>
        <w:ind w:left="425" w:hanging="425"/>
        <w:contextualSpacing w:val="0"/>
        <w:jc w:val="both"/>
        <w:rPr>
          <w:rFonts w:asciiTheme="minorHAnsi" w:hAnsiTheme="minorHAnsi"/>
          <w:sz w:val="20"/>
          <w:szCs w:val="20"/>
        </w:rPr>
      </w:pPr>
      <w:r w:rsidRPr="00491C91">
        <w:rPr>
          <w:rFonts w:asciiTheme="minorHAnsi" w:hAnsiTheme="minorHAnsi"/>
          <w:sz w:val="20"/>
          <w:szCs w:val="20"/>
        </w:rPr>
        <w:t>Př</w:t>
      </w:r>
      <w:r w:rsidR="00BB71B3">
        <w:rPr>
          <w:rFonts w:asciiTheme="minorHAnsi" w:hAnsiTheme="minorHAnsi"/>
          <w:sz w:val="20"/>
          <w:szCs w:val="20"/>
        </w:rPr>
        <w:t>í</w:t>
      </w:r>
      <w:r w:rsidRPr="00491C91">
        <w:rPr>
          <w:rFonts w:asciiTheme="minorHAnsi" w:hAnsiTheme="minorHAnsi"/>
          <w:sz w:val="20"/>
          <w:szCs w:val="20"/>
        </w:rPr>
        <w:t>jemci je poskytován</w:t>
      </w:r>
      <w:r w:rsidR="00A0405E" w:rsidRPr="00491C91">
        <w:rPr>
          <w:rFonts w:asciiTheme="minorHAnsi" w:hAnsiTheme="minorHAnsi"/>
          <w:sz w:val="20"/>
          <w:szCs w:val="20"/>
        </w:rPr>
        <w:t>a účelová neinvestiční dotace v celkové</w:t>
      </w:r>
      <w:r w:rsidRPr="00491C91">
        <w:rPr>
          <w:rFonts w:asciiTheme="minorHAnsi" w:hAnsiTheme="minorHAnsi"/>
          <w:sz w:val="20"/>
          <w:szCs w:val="20"/>
        </w:rPr>
        <w:t xml:space="preserve"> výši </w:t>
      </w:r>
      <w:proofErr w:type="spellStart"/>
      <w:r w:rsidR="003634AA" w:rsidRPr="003634AA">
        <w:rPr>
          <w:rFonts w:asciiTheme="minorHAnsi" w:hAnsiTheme="minorHAnsi"/>
          <w:sz w:val="20"/>
          <w:szCs w:val="20"/>
          <w:highlight w:val="yellow"/>
        </w:rPr>
        <w:t>xxxxxx</w:t>
      </w:r>
      <w:proofErr w:type="spellEnd"/>
      <w:r w:rsidRPr="00491C91">
        <w:rPr>
          <w:rFonts w:asciiTheme="minorHAnsi" w:hAnsiTheme="minorHAnsi"/>
          <w:sz w:val="20"/>
          <w:szCs w:val="20"/>
        </w:rPr>
        <w:t xml:space="preserve"> Kč</w:t>
      </w:r>
      <w:r w:rsidR="00A0405E" w:rsidRPr="00491C91">
        <w:rPr>
          <w:rFonts w:asciiTheme="minorHAnsi" w:hAnsiTheme="minorHAnsi"/>
          <w:sz w:val="20"/>
          <w:szCs w:val="20"/>
        </w:rPr>
        <w:t xml:space="preserve">. </w:t>
      </w:r>
    </w:p>
    <w:p w:rsidR="00D56F59" w:rsidRDefault="00D56F59" w:rsidP="006F3276">
      <w:pPr>
        <w:pStyle w:val="Odstavecseseznamem"/>
        <w:numPr>
          <w:ilvl w:val="0"/>
          <w:numId w:val="3"/>
        </w:numPr>
        <w:spacing w:before="120" w:after="0" w:line="240" w:lineRule="auto"/>
        <w:ind w:left="425" w:hanging="425"/>
        <w:contextualSpacing w:val="0"/>
        <w:jc w:val="both"/>
        <w:rPr>
          <w:rFonts w:asciiTheme="minorHAnsi" w:hAnsiTheme="minorHAnsi"/>
          <w:sz w:val="20"/>
          <w:szCs w:val="20"/>
        </w:rPr>
      </w:pPr>
      <w:r>
        <w:rPr>
          <w:rFonts w:asciiTheme="minorHAnsi" w:hAnsiTheme="minorHAnsi"/>
          <w:sz w:val="20"/>
          <w:szCs w:val="20"/>
        </w:rPr>
        <w:t>Rozdělení f</w:t>
      </w:r>
      <w:r w:rsidR="00A0405E" w:rsidRPr="00491C91">
        <w:rPr>
          <w:rFonts w:asciiTheme="minorHAnsi" w:hAnsiTheme="minorHAnsi"/>
          <w:sz w:val="20"/>
          <w:szCs w:val="20"/>
        </w:rPr>
        <w:t>inanční</w:t>
      </w:r>
      <w:r>
        <w:rPr>
          <w:rFonts w:asciiTheme="minorHAnsi" w:hAnsiTheme="minorHAnsi"/>
          <w:sz w:val="20"/>
          <w:szCs w:val="20"/>
        </w:rPr>
        <w:t>ch prostředků</w:t>
      </w:r>
      <w:r w:rsidR="00C77E86">
        <w:rPr>
          <w:rFonts w:asciiTheme="minorHAnsi" w:hAnsiTheme="minorHAnsi"/>
          <w:sz w:val="20"/>
          <w:szCs w:val="20"/>
        </w:rPr>
        <w:t>:</w:t>
      </w:r>
    </w:p>
    <w:p w:rsidR="00D56F59" w:rsidRDefault="00E45450" w:rsidP="00D56F59">
      <w:pPr>
        <w:pStyle w:val="Odstavecseseznamem"/>
        <w:numPr>
          <w:ilvl w:val="0"/>
          <w:numId w:val="19"/>
        </w:numPr>
        <w:spacing w:before="120" w:after="0" w:line="240" w:lineRule="auto"/>
        <w:contextualSpacing w:val="0"/>
        <w:jc w:val="both"/>
        <w:rPr>
          <w:rFonts w:asciiTheme="minorHAnsi" w:hAnsiTheme="minorHAnsi"/>
          <w:sz w:val="20"/>
          <w:szCs w:val="20"/>
        </w:rPr>
      </w:pPr>
      <w:r>
        <w:rPr>
          <w:rFonts w:asciiTheme="minorHAnsi" w:hAnsiTheme="minorHAnsi"/>
          <w:sz w:val="20"/>
          <w:szCs w:val="20"/>
        </w:rPr>
        <w:t>po</w:t>
      </w:r>
      <w:r w:rsidR="00A0405E" w:rsidRPr="00491C91">
        <w:rPr>
          <w:rFonts w:asciiTheme="minorHAnsi" w:hAnsiTheme="minorHAnsi"/>
          <w:sz w:val="20"/>
          <w:szCs w:val="20"/>
        </w:rPr>
        <w:t>dle článku I</w:t>
      </w:r>
      <w:r w:rsidR="00612C61">
        <w:rPr>
          <w:rFonts w:asciiTheme="minorHAnsi" w:hAnsiTheme="minorHAnsi"/>
          <w:sz w:val="20"/>
          <w:szCs w:val="20"/>
        </w:rPr>
        <w:t>.</w:t>
      </w:r>
      <w:r w:rsidR="00A0405E" w:rsidRPr="00491C91">
        <w:rPr>
          <w:rFonts w:asciiTheme="minorHAnsi" w:hAnsiTheme="minorHAnsi"/>
          <w:sz w:val="20"/>
          <w:szCs w:val="20"/>
        </w:rPr>
        <w:t xml:space="preserve"> </w:t>
      </w:r>
      <w:r w:rsidR="00BB71B3">
        <w:rPr>
          <w:rFonts w:asciiTheme="minorHAnsi" w:hAnsiTheme="minorHAnsi"/>
          <w:sz w:val="20"/>
          <w:szCs w:val="20"/>
        </w:rPr>
        <w:t>odst.</w:t>
      </w:r>
      <w:r w:rsidR="00A0405E" w:rsidRPr="00491C91">
        <w:rPr>
          <w:rFonts w:asciiTheme="minorHAnsi" w:hAnsiTheme="minorHAnsi"/>
          <w:sz w:val="20"/>
          <w:szCs w:val="20"/>
        </w:rPr>
        <w:t xml:space="preserve"> 1</w:t>
      </w:r>
      <w:r>
        <w:rPr>
          <w:rFonts w:asciiTheme="minorHAnsi" w:hAnsiTheme="minorHAnsi"/>
          <w:sz w:val="20"/>
          <w:szCs w:val="20"/>
        </w:rPr>
        <w:t>.</w:t>
      </w:r>
      <w:r w:rsidR="00A0405E" w:rsidRPr="00491C91">
        <w:rPr>
          <w:rFonts w:asciiTheme="minorHAnsi" w:hAnsiTheme="minorHAnsi"/>
          <w:sz w:val="20"/>
          <w:szCs w:val="20"/>
        </w:rPr>
        <w:t xml:space="preserve"> písm. a) se posk</w:t>
      </w:r>
      <w:r w:rsidR="00C77E86">
        <w:rPr>
          <w:rFonts w:asciiTheme="minorHAnsi" w:hAnsiTheme="minorHAnsi"/>
          <w:sz w:val="20"/>
          <w:szCs w:val="20"/>
        </w:rPr>
        <w:t>ytují ve výši</w:t>
      </w:r>
      <w:r w:rsidR="003D1290">
        <w:rPr>
          <w:rFonts w:asciiTheme="minorHAnsi" w:hAnsiTheme="minorHAnsi"/>
          <w:sz w:val="20"/>
          <w:szCs w:val="20"/>
        </w:rPr>
        <w:t xml:space="preserve"> </w:t>
      </w:r>
      <w:proofErr w:type="spellStart"/>
      <w:r w:rsidR="003D1290" w:rsidRPr="00EE0542">
        <w:rPr>
          <w:rFonts w:asciiTheme="minorHAnsi" w:hAnsiTheme="minorHAnsi"/>
          <w:sz w:val="20"/>
          <w:szCs w:val="20"/>
          <w:highlight w:val="yellow"/>
        </w:rPr>
        <w:t>xxxx</w:t>
      </w:r>
      <w:proofErr w:type="spellEnd"/>
      <w:r w:rsidR="003D1290">
        <w:rPr>
          <w:rFonts w:asciiTheme="minorHAnsi" w:hAnsiTheme="minorHAnsi"/>
          <w:sz w:val="20"/>
          <w:szCs w:val="20"/>
        </w:rPr>
        <w:t xml:space="preserve"> </w:t>
      </w:r>
      <w:r w:rsidR="00C77E86">
        <w:rPr>
          <w:rFonts w:asciiTheme="minorHAnsi" w:hAnsiTheme="minorHAnsi"/>
          <w:sz w:val="20"/>
          <w:szCs w:val="20"/>
        </w:rPr>
        <w:t>Kč,</w:t>
      </w:r>
    </w:p>
    <w:p w:rsidR="00A0405E" w:rsidRPr="00491C91" w:rsidRDefault="00E45450" w:rsidP="00D56F59">
      <w:pPr>
        <w:pStyle w:val="Odstavecseseznamem"/>
        <w:numPr>
          <w:ilvl w:val="0"/>
          <w:numId w:val="19"/>
        </w:numPr>
        <w:spacing w:before="120" w:after="0" w:line="240" w:lineRule="auto"/>
        <w:contextualSpacing w:val="0"/>
        <w:jc w:val="both"/>
        <w:rPr>
          <w:rFonts w:asciiTheme="minorHAnsi" w:hAnsiTheme="minorHAnsi"/>
          <w:sz w:val="20"/>
          <w:szCs w:val="20"/>
        </w:rPr>
      </w:pPr>
      <w:r>
        <w:rPr>
          <w:rFonts w:asciiTheme="minorHAnsi" w:hAnsiTheme="minorHAnsi"/>
          <w:sz w:val="20"/>
          <w:szCs w:val="20"/>
        </w:rPr>
        <w:t>po</w:t>
      </w:r>
      <w:r w:rsidR="00654CCE" w:rsidRPr="00491C91">
        <w:rPr>
          <w:rFonts w:asciiTheme="minorHAnsi" w:hAnsiTheme="minorHAnsi"/>
          <w:sz w:val="20"/>
          <w:szCs w:val="20"/>
        </w:rPr>
        <w:t>dle článku I</w:t>
      </w:r>
      <w:r w:rsidR="00612C61">
        <w:rPr>
          <w:rFonts w:asciiTheme="minorHAnsi" w:hAnsiTheme="minorHAnsi"/>
          <w:sz w:val="20"/>
          <w:szCs w:val="20"/>
        </w:rPr>
        <w:t>.</w:t>
      </w:r>
      <w:r w:rsidR="00654CCE" w:rsidRPr="00491C91">
        <w:rPr>
          <w:rFonts w:asciiTheme="minorHAnsi" w:hAnsiTheme="minorHAnsi"/>
          <w:sz w:val="20"/>
          <w:szCs w:val="20"/>
        </w:rPr>
        <w:t xml:space="preserve"> </w:t>
      </w:r>
      <w:r w:rsidR="00BB71B3">
        <w:rPr>
          <w:rFonts w:asciiTheme="minorHAnsi" w:hAnsiTheme="minorHAnsi"/>
          <w:sz w:val="20"/>
          <w:szCs w:val="20"/>
        </w:rPr>
        <w:t>odst.</w:t>
      </w:r>
      <w:r w:rsidR="005F7716">
        <w:rPr>
          <w:rFonts w:asciiTheme="minorHAnsi" w:hAnsiTheme="minorHAnsi"/>
          <w:sz w:val="20"/>
          <w:szCs w:val="20"/>
        </w:rPr>
        <w:t xml:space="preserve"> </w:t>
      </w:r>
      <w:r w:rsidR="00654CCE" w:rsidRPr="00491C91">
        <w:rPr>
          <w:rFonts w:asciiTheme="minorHAnsi" w:hAnsiTheme="minorHAnsi"/>
          <w:sz w:val="20"/>
          <w:szCs w:val="20"/>
        </w:rPr>
        <w:t>1</w:t>
      </w:r>
      <w:r>
        <w:rPr>
          <w:rFonts w:asciiTheme="minorHAnsi" w:hAnsiTheme="minorHAnsi"/>
          <w:sz w:val="20"/>
          <w:szCs w:val="20"/>
        </w:rPr>
        <w:t>.</w:t>
      </w:r>
      <w:r w:rsidR="00654CCE" w:rsidRPr="00491C91">
        <w:rPr>
          <w:rFonts w:asciiTheme="minorHAnsi" w:hAnsiTheme="minorHAnsi"/>
          <w:sz w:val="20"/>
          <w:szCs w:val="20"/>
        </w:rPr>
        <w:t xml:space="preserve"> </w:t>
      </w:r>
      <w:r w:rsidR="00A0405E" w:rsidRPr="00491C91">
        <w:rPr>
          <w:rFonts w:asciiTheme="minorHAnsi" w:hAnsiTheme="minorHAnsi"/>
          <w:sz w:val="20"/>
          <w:szCs w:val="20"/>
        </w:rPr>
        <w:t>písm.</w:t>
      </w:r>
      <w:r w:rsidR="00A7010D" w:rsidRPr="00491C91">
        <w:rPr>
          <w:rFonts w:asciiTheme="minorHAnsi" w:hAnsiTheme="minorHAnsi"/>
          <w:sz w:val="20"/>
          <w:szCs w:val="20"/>
        </w:rPr>
        <w:t xml:space="preserve"> </w:t>
      </w:r>
      <w:r w:rsidR="00A0405E" w:rsidRPr="00491C91">
        <w:rPr>
          <w:rFonts w:asciiTheme="minorHAnsi" w:hAnsiTheme="minorHAnsi"/>
          <w:sz w:val="20"/>
          <w:szCs w:val="20"/>
        </w:rPr>
        <w:t>b) se poskytují ve výši</w:t>
      </w:r>
      <w:r w:rsidR="003D1290">
        <w:rPr>
          <w:rFonts w:asciiTheme="minorHAnsi" w:hAnsiTheme="minorHAnsi"/>
          <w:sz w:val="20"/>
          <w:szCs w:val="20"/>
        </w:rPr>
        <w:t xml:space="preserve"> </w:t>
      </w:r>
      <w:proofErr w:type="spellStart"/>
      <w:r w:rsidR="003D1290" w:rsidRPr="00EE0542">
        <w:rPr>
          <w:rFonts w:asciiTheme="minorHAnsi" w:hAnsiTheme="minorHAnsi"/>
          <w:sz w:val="20"/>
          <w:szCs w:val="20"/>
          <w:highlight w:val="yellow"/>
        </w:rPr>
        <w:t>xxxx</w:t>
      </w:r>
      <w:proofErr w:type="spellEnd"/>
      <w:r w:rsidR="00A0405E" w:rsidRPr="00491C91">
        <w:rPr>
          <w:rFonts w:asciiTheme="minorHAnsi" w:hAnsiTheme="minorHAnsi"/>
          <w:sz w:val="20"/>
          <w:szCs w:val="20"/>
        </w:rPr>
        <w:t xml:space="preserve"> Kč. </w:t>
      </w:r>
    </w:p>
    <w:p w:rsidR="006F3276" w:rsidRPr="00491C91" w:rsidRDefault="006F3276" w:rsidP="006F3276">
      <w:pPr>
        <w:pStyle w:val="Odstavecseseznamem"/>
        <w:numPr>
          <w:ilvl w:val="0"/>
          <w:numId w:val="3"/>
        </w:numPr>
        <w:spacing w:before="120" w:after="0" w:line="240" w:lineRule="auto"/>
        <w:ind w:left="425" w:hanging="425"/>
        <w:contextualSpacing w:val="0"/>
        <w:jc w:val="both"/>
        <w:rPr>
          <w:rFonts w:asciiTheme="minorHAnsi" w:hAnsiTheme="minorHAnsi"/>
          <w:sz w:val="20"/>
          <w:szCs w:val="20"/>
        </w:rPr>
      </w:pPr>
      <w:r w:rsidRPr="00491C91">
        <w:rPr>
          <w:rFonts w:asciiTheme="minorHAnsi" w:hAnsiTheme="minorHAnsi"/>
          <w:sz w:val="20"/>
          <w:szCs w:val="20"/>
        </w:rPr>
        <w:t>Poskytovatel se zavazuje celou výši dotace poukázat jednorázově bankovní převodem na účet příjemce uvedený v záhlaví smlouvy, a to nejp</w:t>
      </w:r>
      <w:r w:rsidR="005D31A7">
        <w:rPr>
          <w:rFonts w:asciiTheme="minorHAnsi" w:hAnsiTheme="minorHAnsi"/>
          <w:sz w:val="20"/>
          <w:szCs w:val="20"/>
        </w:rPr>
        <w:t>ozději do 45 dnů ode dne</w:t>
      </w:r>
      <w:r w:rsidRPr="00491C91">
        <w:rPr>
          <w:rFonts w:asciiTheme="minorHAnsi" w:hAnsiTheme="minorHAnsi"/>
          <w:sz w:val="20"/>
          <w:szCs w:val="20"/>
        </w:rPr>
        <w:t xml:space="preserve"> </w:t>
      </w:r>
      <w:r w:rsidR="005D31A7">
        <w:rPr>
          <w:rFonts w:asciiTheme="minorHAnsi" w:hAnsiTheme="minorHAnsi"/>
          <w:sz w:val="20"/>
          <w:szCs w:val="20"/>
        </w:rPr>
        <w:t xml:space="preserve">nabytí účinnosti </w:t>
      </w:r>
      <w:r w:rsidRPr="00491C91">
        <w:rPr>
          <w:rFonts w:asciiTheme="minorHAnsi" w:hAnsiTheme="minorHAnsi"/>
          <w:sz w:val="20"/>
          <w:szCs w:val="20"/>
        </w:rPr>
        <w:t xml:space="preserve">této </w:t>
      </w:r>
      <w:r w:rsidR="005D31A7">
        <w:rPr>
          <w:rFonts w:asciiTheme="minorHAnsi" w:hAnsiTheme="minorHAnsi"/>
          <w:sz w:val="20"/>
          <w:szCs w:val="20"/>
        </w:rPr>
        <w:t>smlouvy</w:t>
      </w:r>
      <w:r w:rsidRPr="00491C91">
        <w:rPr>
          <w:rFonts w:asciiTheme="minorHAnsi" w:hAnsiTheme="minorHAnsi"/>
          <w:sz w:val="20"/>
          <w:szCs w:val="20"/>
        </w:rPr>
        <w:t>. Lhůta je splněna za předpokladu, že v dané lhůtě odejdou finanční prostředky ve výši dotace z účtu poskytovatele.</w:t>
      </w:r>
    </w:p>
    <w:p w:rsidR="00CE6E63" w:rsidRPr="00491C91" w:rsidRDefault="00CE6E63" w:rsidP="000E540D">
      <w:pPr>
        <w:pStyle w:val="Odstavecseseznamem"/>
        <w:spacing w:before="120" w:after="0" w:line="240" w:lineRule="auto"/>
        <w:ind w:left="0"/>
        <w:contextualSpacing w:val="0"/>
        <w:jc w:val="center"/>
        <w:rPr>
          <w:rFonts w:asciiTheme="minorHAnsi" w:hAnsiTheme="minorHAnsi"/>
          <w:sz w:val="20"/>
          <w:szCs w:val="20"/>
        </w:rPr>
      </w:pPr>
    </w:p>
    <w:p w:rsidR="000E540D" w:rsidRPr="00491C91" w:rsidRDefault="000E540D" w:rsidP="000E540D">
      <w:pPr>
        <w:pStyle w:val="Odstavecseseznamem"/>
        <w:spacing w:before="120" w:after="0" w:line="240" w:lineRule="auto"/>
        <w:ind w:left="0"/>
        <w:contextualSpacing w:val="0"/>
        <w:jc w:val="center"/>
        <w:rPr>
          <w:rFonts w:asciiTheme="minorHAnsi" w:hAnsiTheme="minorHAnsi"/>
          <w:b/>
          <w:sz w:val="20"/>
          <w:szCs w:val="20"/>
        </w:rPr>
      </w:pPr>
      <w:r w:rsidRPr="00491C91">
        <w:rPr>
          <w:rFonts w:asciiTheme="minorHAnsi" w:hAnsiTheme="minorHAnsi"/>
          <w:b/>
          <w:sz w:val="20"/>
          <w:szCs w:val="20"/>
        </w:rPr>
        <w:t>III.</w:t>
      </w:r>
    </w:p>
    <w:p w:rsidR="000E540D" w:rsidRPr="00491C91" w:rsidRDefault="000E540D" w:rsidP="000E540D">
      <w:pPr>
        <w:pStyle w:val="Odstavecseseznamem"/>
        <w:spacing w:after="0" w:line="240" w:lineRule="auto"/>
        <w:ind w:left="0"/>
        <w:jc w:val="center"/>
        <w:rPr>
          <w:rFonts w:asciiTheme="minorHAnsi" w:hAnsiTheme="minorHAnsi"/>
          <w:b/>
          <w:sz w:val="20"/>
          <w:szCs w:val="20"/>
        </w:rPr>
      </w:pPr>
      <w:r w:rsidRPr="00491C91">
        <w:rPr>
          <w:rFonts w:asciiTheme="minorHAnsi" w:hAnsiTheme="minorHAnsi"/>
          <w:b/>
          <w:sz w:val="20"/>
          <w:szCs w:val="20"/>
        </w:rPr>
        <w:t>Podmínky použití dotace, práva a povinnosti smluvních stran</w:t>
      </w:r>
    </w:p>
    <w:p w:rsidR="000072D6" w:rsidRDefault="000E540D" w:rsidP="000072D6">
      <w:pPr>
        <w:pStyle w:val="Odstavecseseznamem"/>
        <w:numPr>
          <w:ilvl w:val="0"/>
          <w:numId w:val="12"/>
        </w:numPr>
        <w:spacing w:before="120" w:after="120" w:line="240" w:lineRule="auto"/>
        <w:ind w:left="425" w:hanging="357"/>
        <w:contextualSpacing w:val="0"/>
        <w:jc w:val="both"/>
        <w:rPr>
          <w:rFonts w:asciiTheme="minorHAnsi" w:hAnsiTheme="minorHAnsi"/>
          <w:sz w:val="20"/>
          <w:szCs w:val="20"/>
        </w:rPr>
      </w:pPr>
      <w:r w:rsidRPr="00491C91">
        <w:rPr>
          <w:rFonts w:asciiTheme="minorHAnsi" w:hAnsiTheme="minorHAnsi"/>
          <w:sz w:val="20"/>
          <w:szCs w:val="20"/>
        </w:rPr>
        <w:t>Doba realizace projektu je stanovena od 1.</w:t>
      </w:r>
      <w:r w:rsidR="00825401">
        <w:rPr>
          <w:rFonts w:asciiTheme="minorHAnsi" w:hAnsiTheme="minorHAnsi"/>
          <w:sz w:val="20"/>
          <w:szCs w:val="20"/>
        </w:rPr>
        <w:t xml:space="preserve"> </w:t>
      </w:r>
      <w:r w:rsidRPr="00491C91">
        <w:rPr>
          <w:rFonts w:asciiTheme="minorHAnsi" w:hAnsiTheme="minorHAnsi"/>
          <w:sz w:val="20"/>
          <w:szCs w:val="20"/>
        </w:rPr>
        <w:t>1.</w:t>
      </w:r>
      <w:r w:rsidR="00825401">
        <w:rPr>
          <w:rFonts w:asciiTheme="minorHAnsi" w:hAnsiTheme="minorHAnsi"/>
          <w:sz w:val="20"/>
          <w:szCs w:val="20"/>
        </w:rPr>
        <w:t xml:space="preserve"> </w:t>
      </w:r>
      <w:r w:rsidRPr="00491C91">
        <w:rPr>
          <w:rFonts w:asciiTheme="minorHAnsi" w:hAnsiTheme="minorHAnsi"/>
          <w:sz w:val="20"/>
          <w:szCs w:val="20"/>
        </w:rPr>
        <w:t>201</w:t>
      </w:r>
      <w:r w:rsidR="00E45450">
        <w:rPr>
          <w:rFonts w:asciiTheme="minorHAnsi" w:hAnsiTheme="minorHAnsi"/>
          <w:sz w:val="20"/>
          <w:szCs w:val="20"/>
        </w:rPr>
        <w:t>4</w:t>
      </w:r>
      <w:r w:rsidRPr="00491C91">
        <w:rPr>
          <w:rFonts w:asciiTheme="minorHAnsi" w:hAnsiTheme="minorHAnsi"/>
          <w:sz w:val="20"/>
          <w:szCs w:val="20"/>
        </w:rPr>
        <w:t xml:space="preserve"> do 31.</w:t>
      </w:r>
      <w:r w:rsidR="00825401">
        <w:rPr>
          <w:rFonts w:asciiTheme="minorHAnsi" w:hAnsiTheme="minorHAnsi"/>
          <w:sz w:val="20"/>
          <w:szCs w:val="20"/>
        </w:rPr>
        <w:t xml:space="preserve"> </w:t>
      </w:r>
      <w:r w:rsidRPr="00491C91">
        <w:rPr>
          <w:rFonts w:asciiTheme="minorHAnsi" w:hAnsiTheme="minorHAnsi"/>
          <w:sz w:val="20"/>
          <w:szCs w:val="20"/>
        </w:rPr>
        <w:t>12.</w:t>
      </w:r>
      <w:r w:rsidR="00825401">
        <w:rPr>
          <w:rFonts w:asciiTheme="minorHAnsi" w:hAnsiTheme="minorHAnsi"/>
          <w:sz w:val="20"/>
          <w:szCs w:val="20"/>
        </w:rPr>
        <w:t xml:space="preserve"> </w:t>
      </w:r>
      <w:r w:rsidRPr="00491C91">
        <w:rPr>
          <w:rFonts w:asciiTheme="minorHAnsi" w:hAnsiTheme="minorHAnsi"/>
          <w:sz w:val="20"/>
          <w:szCs w:val="20"/>
        </w:rPr>
        <w:t>201</w:t>
      </w:r>
      <w:r w:rsidR="00E45450">
        <w:rPr>
          <w:rFonts w:asciiTheme="minorHAnsi" w:hAnsiTheme="minorHAnsi"/>
          <w:sz w:val="20"/>
          <w:szCs w:val="20"/>
        </w:rPr>
        <w:t>4</w:t>
      </w:r>
      <w:r w:rsidRPr="00491C91">
        <w:rPr>
          <w:rFonts w:asciiTheme="minorHAnsi" w:hAnsiTheme="minorHAnsi"/>
          <w:sz w:val="20"/>
          <w:szCs w:val="20"/>
        </w:rPr>
        <w:t>. Dotace je poskytována na uznatelné výdaje uplatněné za celé období roku 201</w:t>
      </w:r>
      <w:r w:rsidR="00E45450">
        <w:rPr>
          <w:rFonts w:asciiTheme="minorHAnsi" w:hAnsiTheme="minorHAnsi"/>
          <w:sz w:val="20"/>
          <w:szCs w:val="20"/>
        </w:rPr>
        <w:t>4</w:t>
      </w:r>
      <w:r w:rsidRPr="00491C91">
        <w:rPr>
          <w:rFonts w:asciiTheme="minorHAnsi" w:hAnsiTheme="minorHAnsi"/>
          <w:sz w:val="20"/>
          <w:szCs w:val="20"/>
        </w:rPr>
        <w:t xml:space="preserve"> bez ohledu na datum přijetí dotace na účet. Uplatňované výdaje musejí být v souladu s Pravidly a mus</w:t>
      </w:r>
      <w:r w:rsidR="00E45450">
        <w:rPr>
          <w:rFonts w:asciiTheme="minorHAnsi" w:hAnsiTheme="minorHAnsi"/>
          <w:sz w:val="20"/>
          <w:szCs w:val="20"/>
        </w:rPr>
        <w:t>ejí</w:t>
      </w:r>
      <w:r w:rsidRPr="00491C91">
        <w:rPr>
          <w:rFonts w:asciiTheme="minorHAnsi" w:hAnsiTheme="minorHAnsi"/>
          <w:sz w:val="20"/>
          <w:szCs w:val="20"/>
        </w:rPr>
        <w:t xml:space="preserve"> být uhrazeny nejpozději do 31. 12. 201</w:t>
      </w:r>
      <w:r w:rsidR="005221CB">
        <w:rPr>
          <w:rFonts w:asciiTheme="minorHAnsi" w:hAnsiTheme="minorHAnsi"/>
          <w:sz w:val="20"/>
          <w:szCs w:val="20"/>
        </w:rPr>
        <w:t>4</w:t>
      </w:r>
      <w:r w:rsidRPr="00491C91">
        <w:rPr>
          <w:rFonts w:asciiTheme="minorHAnsi" w:hAnsiTheme="minorHAnsi"/>
          <w:sz w:val="20"/>
          <w:szCs w:val="20"/>
        </w:rPr>
        <w:t>.</w:t>
      </w:r>
    </w:p>
    <w:p w:rsidR="000E540D" w:rsidRPr="00491C91" w:rsidRDefault="000E540D" w:rsidP="00B40A96">
      <w:pPr>
        <w:numPr>
          <w:ilvl w:val="0"/>
          <w:numId w:val="12"/>
        </w:numPr>
        <w:spacing w:after="120" w:line="240" w:lineRule="auto"/>
        <w:ind w:left="426"/>
        <w:jc w:val="both"/>
        <w:rPr>
          <w:rFonts w:ascii="Calibri" w:hAnsi="Calibri"/>
          <w:sz w:val="20"/>
          <w:szCs w:val="20"/>
        </w:rPr>
      </w:pPr>
      <w:r w:rsidRPr="00491C91">
        <w:rPr>
          <w:rFonts w:ascii="Calibri" w:hAnsi="Calibri"/>
          <w:sz w:val="20"/>
          <w:szCs w:val="20"/>
        </w:rPr>
        <w:t>Příjemce je povinen použít dotaci maximálně hospodárným způsobem a výhradně k účelu uvedenému v</w:t>
      </w:r>
      <w:r w:rsidR="00673E2C">
        <w:rPr>
          <w:rFonts w:ascii="Calibri" w:hAnsi="Calibri"/>
          <w:sz w:val="20"/>
          <w:szCs w:val="20"/>
        </w:rPr>
        <w:t> </w:t>
      </w:r>
      <w:r w:rsidRPr="00491C91">
        <w:rPr>
          <w:rFonts w:ascii="Calibri" w:hAnsi="Calibri"/>
          <w:sz w:val="20"/>
          <w:szCs w:val="20"/>
        </w:rPr>
        <w:t>této smlouvě.</w:t>
      </w:r>
    </w:p>
    <w:p w:rsidR="000E540D" w:rsidRPr="005221CB" w:rsidRDefault="00EE0542" w:rsidP="00B40A96">
      <w:pPr>
        <w:numPr>
          <w:ilvl w:val="0"/>
          <w:numId w:val="12"/>
        </w:numPr>
        <w:spacing w:after="120" w:line="240" w:lineRule="auto"/>
        <w:ind w:left="426"/>
        <w:jc w:val="both"/>
        <w:rPr>
          <w:rFonts w:asciiTheme="minorHAnsi" w:hAnsiTheme="minorHAnsi"/>
          <w:sz w:val="20"/>
          <w:szCs w:val="20"/>
        </w:rPr>
      </w:pPr>
      <w:r>
        <w:rPr>
          <w:rFonts w:asciiTheme="minorHAnsi" w:hAnsiTheme="minorHAnsi"/>
          <w:sz w:val="20"/>
          <w:szCs w:val="20"/>
        </w:rPr>
        <w:t xml:space="preserve">Jednotlivé výdaje </w:t>
      </w:r>
      <w:r w:rsidR="000072D6" w:rsidRPr="000072D6">
        <w:rPr>
          <w:rFonts w:asciiTheme="minorHAnsi" w:hAnsiTheme="minorHAnsi"/>
          <w:sz w:val="20"/>
          <w:szCs w:val="20"/>
        </w:rPr>
        <w:t>nad 40.000 Kč se příjemce zavazuje hradit bezhotovostním převodem</w:t>
      </w:r>
      <w:r w:rsidR="003E6005">
        <w:rPr>
          <w:rFonts w:asciiTheme="minorHAnsi" w:hAnsiTheme="minorHAnsi"/>
          <w:sz w:val="20"/>
          <w:szCs w:val="20"/>
        </w:rPr>
        <w:t>.</w:t>
      </w:r>
      <w:r w:rsidR="000072D6" w:rsidRPr="000072D6">
        <w:rPr>
          <w:rFonts w:asciiTheme="minorHAnsi" w:hAnsiTheme="minorHAnsi"/>
          <w:sz w:val="20"/>
          <w:szCs w:val="20"/>
        </w:rPr>
        <w:t xml:space="preserve"> </w:t>
      </w:r>
    </w:p>
    <w:p w:rsidR="000E540D" w:rsidRPr="005221CB" w:rsidRDefault="000072D6" w:rsidP="00B40A96">
      <w:pPr>
        <w:numPr>
          <w:ilvl w:val="0"/>
          <w:numId w:val="12"/>
        </w:numPr>
        <w:spacing w:after="120" w:line="240" w:lineRule="auto"/>
        <w:ind w:left="426"/>
        <w:jc w:val="both"/>
        <w:rPr>
          <w:rFonts w:ascii="Calibri" w:hAnsi="Calibri"/>
          <w:sz w:val="20"/>
          <w:szCs w:val="20"/>
        </w:rPr>
      </w:pPr>
      <w:r w:rsidRPr="000072D6">
        <w:rPr>
          <w:rFonts w:ascii="Calibri" w:hAnsi="Calibri"/>
          <w:sz w:val="20"/>
          <w:szCs w:val="20"/>
        </w:rPr>
        <w:t>Pokud je příjemce plátcem daně z přidané hodnoty (dále jen „DPH“) a má v konkrétním případě nárok na uplatnění odpočtu DPH na vstupu podle zákona č. 235/2004 Sb., o dani z přidané hodnoty, ve znění pozdějších předpisů (dále jen „zákon o DPH“), je povinen pro účely této smlouvy vykázat všechny uznatelné náklady projektu bez DPH. DPH není pro příjemce uznatelným nákladem.</w:t>
      </w:r>
    </w:p>
    <w:p w:rsidR="000E540D" w:rsidRPr="005221CB" w:rsidRDefault="000072D6" w:rsidP="00B40A96">
      <w:pPr>
        <w:numPr>
          <w:ilvl w:val="0"/>
          <w:numId w:val="12"/>
        </w:numPr>
        <w:spacing w:after="120" w:line="240" w:lineRule="auto"/>
        <w:ind w:left="426"/>
        <w:jc w:val="both"/>
        <w:rPr>
          <w:rFonts w:ascii="Calibri" w:hAnsi="Calibri"/>
          <w:sz w:val="20"/>
          <w:szCs w:val="20"/>
        </w:rPr>
      </w:pPr>
      <w:r w:rsidRPr="000072D6">
        <w:rPr>
          <w:rFonts w:ascii="Calibri" w:hAnsi="Calibri"/>
          <w:sz w:val="20"/>
          <w:szCs w:val="20"/>
        </w:rPr>
        <w:t>Pokud se příjemce dotace stane plátcem DPH v průběhu realizace projektu a uplatní v konkrétním případě nárok na odpočet DPH na vstupu, je povinen v rámci vyúčtování vykázat uznatelné náklady projektu bez DPH, a nejpozději v termínu pro předložení vyúčtování projektu podle této smlouvy vrátit poskytovateli finanční prostředky odpovídající odpočtu DPH, a to ve výši odpovídající částce DPH obsažené v poskytnuté dotaci, vypočítané koeficientem podle zákona o DPH (ve znění k okamžiku uplatnění odpočtu DPH na vstupu).</w:t>
      </w:r>
    </w:p>
    <w:p w:rsidR="000E540D" w:rsidRPr="005221CB" w:rsidRDefault="000072D6" w:rsidP="00953204">
      <w:pPr>
        <w:numPr>
          <w:ilvl w:val="0"/>
          <w:numId w:val="12"/>
        </w:numPr>
        <w:spacing w:after="120" w:line="240" w:lineRule="auto"/>
        <w:ind w:left="426"/>
        <w:jc w:val="both"/>
        <w:rPr>
          <w:rFonts w:ascii="Calibri" w:hAnsi="Calibri"/>
          <w:sz w:val="20"/>
          <w:szCs w:val="20"/>
        </w:rPr>
      </w:pPr>
      <w:r w:rsidRPr="000072D6">
        <w:rPr>
          <w:rFonts w:ascii="Calibri" w:hAnsi="Calibri"/>
          <w:sz w:val="20"/>
          <w:szCs w:val="20"/>
        </w:rPr>
        <w:t>Pokud se příjemce stane plátcem DPH po ukončení a vyhodnocení projektu, a uplatní v konkrétním případě nárok na odpočet DPH na vstupu, je povinen neprodleně předložit nové vyúčtování, ve kterém vykáže uznatelné náklady projektu bez DPH, a neprodleně vrátí poskytovateli finanční prostředky odpovídající odpočtu DPH, a to až do výše odpovídající částce DPH obsažené v poskytnuté dotaci, vypočítané koeficientem podle zákona o DPH (ve znění k okamžiku odpočtu DPH na vstupu).</w:t>
      </w:r>
    </w:p>
    <w:p w:rsidR="000E540D" w:rsidRPr="005221CB" w:rsidRDefault="000072D6" w:rsidP="00953204">
      <w:pPr>
        <w:numPr>
          <w:ilvl w:val="0"/>
          <w:numId w:val="12"/>
        </w:numPr>
        <w:spacing w:after="120" w:line="240" w:lineRule="auto"/>
        <w:ind w:left="426"/>
        <w:jc w:val="both"/>
        <w:rPr>
          <w:rFonts w:asciiTheme="minorHAnsi" w:hAnsiTheme="minorHAnsi"/>
          <w:sz w:val="20"/>
          <w:szCs w:val="20"/>
        </w:rPr>
      </w:pPr>
      <w:r w:rsidRPr="000072D6">
        <w:rPr>
          <w:rFonts w:asciiTheme="minorHAnsi" w:hAnsiTheme="minorHAnsi"/>
          <w:sz w:val="20"/>
          <w:szCs w:val="20"/>
        </w:rPr>
        <w:t>Příjemce je povinen při zadávání zakázek na dodávky a služby, které mají být pořízeny s účastí veřejných prostředků, bez ohledu na výši plnění, postupovat vždy v souladu se zákonem č. 137/2006 Sb., o veřejných zakázkách, ve znění pozdějších předpisů (dále jen „</w:t>
      </w:r>
      <w:proofErr w:type="spellStart"/>
      <w:r w:rsidRPr="000072D6">
        <w:rPr>
          <w:rFonts w:asciiTheme="minorHAnsi" w:hAnsiTheme="minorHAnsi"/>
          <w:sz w:val="20"/>
          <w:szCs w:val="20"/>
        </w:rPr>
        <w:t>ZoVZ</w:t>
      </w:r>
      <w:proofErr w:type="spellEnd"/>
      <w:r w:rsidRPr="000072D6">
        <w:rPr>
          <w:rFonts w:asciiTheme="minorHAnsi" w:hAnsiTheme="minorHAnsi"/>
          <w:sz w:val="20"/>
          <w:szCs w:val="20"/>
        </w:rPr>
        <w:t xml:space="preserve">“). Příjemce je rovněž povinen dodržovat zásady transparentnosti, rovného zacházení a zákazu diskriminace a neomezovat účast v zadávacím řízení těm dodavatelům, kteří mají sídlo nebo místo podnikání v členském státě Evropské unie a ostatních státech, které mají s Českou republikou či Evropskou unií uzavřenu mezinárodní smlouvu zaručující přístup dodavatelů z těchto států k zadávané veřejné zakázce </w:t>
      </w:r>
      <w:r w:rsidR="0024671D">
        <w:rPr>
          <w:rFonts w:asciiTheme="minorHAnsi" w:hAnsiTheme="minorHAnsi"/>
          <w:sz w:val="20"/>
          <w:szCs w:val="20"/>
        </w:rPr>
        <w:t>[</w:t>
      </w:r>
      <w:r w:rsidRPr="000072D6">
        <w:rPr>
          <w:rFonts w:asciiTheme="minorHAnsi" w:hAnsiTheme="minorHAnsi"/>
          <w:sz w:val="20"/>
          <w:szCs w:val="20"/>
        </w:rPr>
        <w:t xml:space="preserve">ustanovení § 6 odst. </w:t>
      </w:r>
      <w:r w:rsidR="0024671D">
        <w:rPr>
          <w:rFonts w:asciiTheme="minorHAnsi" w:hAnsiTheme="minorHAnsi"/>
          <w:sz w:val="20"/>
          <w:szCs w:val="20"/>
        </w:rPr>
        <w:t>(</w:t>
      </w:r>
      <w:r w:rsidRPr="000072D6">
        <w:rPr>
          <w:rFonts w:asciiTheme="minorHAnsi" w:hAnsiTheme="minorHAnsi"/>
          <w:sz w:val="20"/>
          <w:szCs w:val="20"/>
        </w:rPr>
        <w:t>1</w:t>
      </w:r>
      <w:r w:rsidR="0024671D">
        <w:rPr>
          <w:rFonts w:asciiTheme="minorHAnsi" w:hAnsiTheme="minorHAnsi"/>
          <w:sz w:val="20"/>
          <w:szCs w:val="20"/>
        </w:rPr>
        <w:t>)</w:t>
      </w:r>
      <w:r w:rsidRPr="000072D6">
        <w:rPr>
          <w:rFonts w:asciiTheme="minorHAnsi" w:hAnsiTheme="minorHAnsi"/>
          <w:sz w:val="20"/>
          <w:szCs w:val="20"/>
        </w:rPr>
        <w:t xml:space="preserve"> a </w:t>
      </w:r>
      <w:r w:rsidR="0024671D">
        <w:rPr>
          <w:rFonts w:asciiTheme="minorHAnsi" w:hAnsiTheme="minorHAnsi"/>
          <w:sz w:val="20"/>
          <w:szCs w:val="20"/>
        </w:rPr>
        <w:t>(</w:t>
      </w:r>
      <w:r w:rsidRPr="000072D6">
        <w:rPr>
          <w:rFonts w:asciiTheme="minorHAnsi" w:hAnsiTheme="minorHAnsi"/>
          <w:sz w:val="20"/>
          <w:szCs w:val="20"/>
        </w:rPr>
        <w:t>2</w:t>
      </w:r>
      <w:r w:rsidR="0024671D">
        <w:rPr>
          <w:rFonts w:asciiTheme="minorHAnsi" w:hAnsiTheme="minorHAnsi"/>
          <w:sz w:val="20"/>
          <w:szCs w:val="20"/>
        </w:rPr>
        <w:t>)</w:t>
      </w:r>
      <w:r w:rsidRPr="000072D6">
        <w:rPr>
          <w:rFonts w:asciiTheme="minorHAnsi" w:hAnsiTheme="minorHAnsi"/>
          <w:sz w:val="20"/>
          <w:szCs w:val="20"/>
        </w:rPr>
        <w:t xml:space="preserve"> </w:t>
      </w:r>
      <w:proofErr w:type="spellStart"/>
      <w:r w:rsidRPr="000072D6">
        <w:rPr>
          <w:rFonts w:asciiTheme="minorHAnsi" w:hAnsiTheme="minorHAnsi"/>
          <w:sz w:val="20"/>
          <w:szCs w:val="20"/>
        </w:rPr>
        <w:t>ZoVZ</w:t>
      </w:r>
      <w:proofErr w:type="spellEnd"/>
      <w:r w:rsidR="0024671D">
        <w:rPr>
          <w:rFonts w:asciiTheme="minorHAnsi" w:hAnsiTheme="minorHAnsi"/>
          <w:sz w:val="20"/>
          <w:szCs w:val="20"/>
        </w:rPr>
        <w:t>]</w:t>
      </w:r>
      <w:r w:rsidRPr="000072D6">
        <w:rPr>
          <w:rFonts w:asciiTheme="minorHAnsi" w:hAnsiTheme="minorHAnsi"/>
          <w:sz w:val="20"/>
          <w:szCs w:val="20"/>
        </w:rPr>
        <w:t xml:space="preserve">. Dále je příjemce povinen dodržet způsob uveřejňování vyhlášení (ustanovení § 147 </w:t>
      </w:r>
      <w:proofErr w:type="spellStart"/>
      <w:r w:rsidRPr="000072D6">
        <w:rPr>
          <w:rFonts w:asciiTheme="minorHAnsi" w:hAnsiTheme="minorHAnsi"/>
          <w:sz w:val="20"/>
          <w:szCs w:val="20"/>
        </w:rPr>
        <w:t>ZoVZ</w:t>
      </w:r>
      <w:proofErr w:type="spellEnd"/>
      <w:r w:rsidRPr="000072D6">
        <w:rPr>
          <w:rFonts w:asciiTheme="minorHAnsi" w:hAnsiTheme="minorHAnsi"/>
          <w:sz w:val="20"/>
          <w:szCs w:val="20"/>
        </w:rPr>
        <w:t>), realizovat zakázky za ceny v místě a čase obvyklé, nelze-li sjednat ceny výhodnější, a dbát ochrany životního prostředí.</w:t>
      </w:r>
    </w:p>
    <w:p w:rsidR="000E540D" w:rsidRPr="00AC7C5D" w:rsidRDefault="000072D6" w:rsidP="00953204">
      <w:pPr>
        <w:numPr>
          <w:ilvl w:val="0"/>
          <w:numId w:val="12"/>
        </w:numPr>
        <w:spacing w:after="120" w:line="240" w:lineRule="auto"/>
        <w:ind w:left="426"/>
        <w:jc w:val="both"/>
        <w:rPr>
          <w:rFonts w:ascii="Calibri" w:hAnsi="Calibri"/>
          <w:sz w:val="20"/>
          <w:szCs w:val="20"/>
        </w:rPr>
      </w:pPr>
      <w:r w:rsidRPr="000072D6">
        <w:rPr>
          <w:rFonts w:ascii="Calibri" w:hAnsi="Calibri"/>
          <w:sz w:val="20"/>
          <w:szCs w:val="20"/>
        </w:rPr>
        <w:t xml:space="preserve">Příjemce je povinen v rámci účetnictví vést náklady projektu odděleně (např. analytická evidence, střediska apod.) v souladu se zákonem č. 563/1991 Sb., o účetnictví, ve znění pozdějších předpisů (dále jen „zákon o účetnictví“). Příjemci, kteří nevedou účetnictví podle tohoto zákona, jsou povinni vést v případě </w:t>
      </w:r>
      <w:r w:rsidRPr="000072D6">
        <w:rPr>
          <w:rFonts w:ascii="Calibri" w:hAnsi="Calibri"/>
          <w:sz w:val="20"/>
          <w:szCs w:val="20"/>
        </w:rPr>
        <w:lastRenderedPageBreak/>
        <w:t>poskytnutí dotace daňovou evidenci podle zákona č. 586/1992 Sb., o daních z příjmů, ve znění pozdějších předpisů, rozšířenou o dodatečné požadavky:</w:t>
      </w:r>
      <w:r w:rsidR="000E540D" w:rsidRPr="00AC7C5D">
        <w:rPr>
          <w:rFonts w:asciiTheme="minorHAnsi" w:hAnsiTheme="minorHAnsi"/>
          <w:sz w:val="20"/>
          <w:szCs w:val="20"/>
        </w:rPr>
        <w:t xml:space="preserve"> </w:t>
      </w:r>
    </w:p>
    <w:p w:rsidR="000072D6" w:rsidRPr="000072D6" w:rsidRDefault="000072D6" w:rsidP="000072D6">
      <w:pPr>
        <w:numPr>
          <w:ilvl w:val="1"/>
          <w:numId w:val="20"/>
        </w:numPr>
        <w:spacing w:after="0" w:line="240" w:lineRule="auto"/>
        <w:ind w:left="714" w:hanging="357"/>
        <w:jc w:val="both"/>
        <w:rPr>
          <w:rFonts w:ascii="Calibri" w:hAnsi="Calibri"/>
          <w:sz w:val="20"/>
          <w:szCs w:val="20"/>
        </w:rPr>
      </w:pPr>
      <w:r w:rsidRPr="000072D6">
        <w:rPr>
          <w:rFonts w:ascii="Calibri" w:hAnsi="Calibri"/>
          <w:sz w:val="20"/>
          <w:szCs w:val="20"/>
        </w:rPr>
        <w:t>příslušný doklad musí splňovat předepsané náležitosti účetního dokladu ve smyslu zákona o</w:t>
      </w:r>
      <w:r w:rsidR="00AC7C5D">
        <w:rPr>
          <w:rFonts w:ascii="Calibri" w:hAnsi="Calibri"/>
          <w:sz w:val="20"/>
          <w:szCs w:val="20"/>
        </w:rPr>
        <w:t> </w:t>
      </w:r>
      <w:r w:rsidRPr="000072D6">
        <w:rPr>
          <w:rFonts w:ascii="Calibri" w:hAnsi="Calibri"/>
          <w:sz w:val="20"/>
          <w:szCs w:val="20"/>
        </w:rPr>
        <w:t xml:space="preserve">účetnictví pro subjekty, které nevedou účetnictví, ale daňovou evidenci, </w:t>
      </w:r>
    </w:p>
    <w:p w:rsidR="000072D6" w:rsidRPr="000072D6" w:rsidRDefault="000072D6" w:rsidP="000072D6">
      <w:pPr>
        <w:numPr>
          <w:ilvl w:val="1"/>
          <w:numId w:val="20"/>
        </w:numPr>
        <w:spacing w:after="0" w:line="240" w:lineRule="auto"/>
        <w:ind w:left="714" w:hanging="357"/>
        <w:jc w:val="both"/>
        <w:rPr>
          <w:rFonts w:ascii="Calibri" w:hAnsi="Calibri"/>
          <w:sz w:val="20"/>
          <w:szCs w:val="20"/>
        </w:rPr>
      </w:pPr>
      <w:r w:rsidRPr="000072D6">
        <w:rPr>
          <w:rFonts w:ascii="Calibri" w:hAnsi="Calibri"/>
          <w:sz w:val="20"/>
          <w:szCs w:val="20"/>
        </w:rPr>
        <w:t xml:space="preserve">předmětné doklady musí být správné, úplné, průkazné, srozumitelné a průběžně chronologicky vedené způsobem zaručujícím jejich trvalost, </w:t>
      </w:r>
    </w:p>
    <w:p w:rsidR="000072D6" w:rsidRPr="000072D6" w:rsidRDefault="000072D6" w:rsidP="000072D6">
      <w:pPr>
        <w:numPr>
          <w:ilvl w:val="1"/>
          <w:numId w:val="20"/>
        </w:numPr>
        <w:spacing w:after="0" w:line="240" w:lineRule="auto"/>
        <w:ind w:left="714" w:hanging="357"/>
        <w:jc w:val="both"/>
        <w:rPr>
          <w:rFonts w:ascii="Calibri" w:hAnsi="Calibri"/>
          <w:sz w:val="20"/>
          <w:szCs w:val="20"/>
        </w:rPr>
      </w:pPr>
      <w:r w:rsidRPr="000072D6">
        <w:rPr>
          <w:rFonts w:ascii="Calibri" w:hAnsi="Calibri"/>
          <w:sz w:val="20"/>
          <w:szCs w:val="20"/>
        </w:rPr>
        <w:t xml:space="preserve">při kontrole poskytne příjemce kontrolnímu orgánu na vyžádání daňovou evidenci v plném rozsahu, </w:t>
      </w:r>
    </w:p>
    <w:p w:rsidR="000072D6" w:rsidRPr="000072D6" w:rsidRDefault="000072D6" w:rsidP="000072D6">
      <w:pPr>
        <w:numPr>
          <w:ilvl w:val="1"/>
          <w:numId w:val="20"/>
        </w:numPr>
        <w:spacing w:after="0" w:line="240" w:lineRule="auto"/>
        <w:ind w:left="714" w:hanging="357"/>
        <w:jc w:val="both"/>
        <w:rPr>
          <w:rFonts w:ascii="Calibri" w:hAnsi="Calibri"/>
          <w:sz w:val="20"/>
          <w:szCs w:val="20"/>
        </w:rPr>
      </w:pPr>
      <w:r w:rsidRPr="000072D6">
        <w:rPr>
          <w:rFonts w:ascii="Calibri" w:hAnsi="Calibri"/>
          <w:sz w:val="20"/>
          <w:szCs w:val="20"/>
        </w:rPr>
        <w:t>uskutečněné příjmy a výdaje jsou analyticky vedeny ve vztahu k příslušnému</w:t>
      </w:r>
    </w:p>
    <w:p w:rsidR="000072D6" w:rsidRDefault="000072D6" w:rsidP="000072D6">
      <w:pPr>
        <w:pStyle w:val="Odstavecseseznamem"/>
        <w:spacing w:after="120" w:line="240" w:lineRule="auto"/>
        <w:ind w:left="714" w:hanging="357"/>
        <w:jc w:val="both"/>
        <w:rPr>
          <w:rFonts w:asciiTheme="minorHAnsi" w:hAnsiTheme="minorHAnsi"/>
          <w:sz w:val="20"/>
          <w:szCs w:val="20"/>
        </w:rPr>
      </w:pPr>
      <w:r w:rsidRPr="000072D6">
        <w:rPr>
          <w:rFonts w:ascii="Calibri" w:hAnsi="Calibri"/>
          <w:sz w:val="20"/>
          <w:szCs w:val="20"/>
        </w:rPr>
        <w:t>projektu, ke kterému se vážou, tzn., že na dokladech musí být jednoznačně uvedeno, ke kterému projektu se vztahují.</w:t>
      </w:r>
      <w:r w:rsidR="000E540D" w:rsidRPr="00491C91">
        <w:rPr>
          <w:rFonts w:asciiTheme="minorHAnsi" w:hAnsiTheme="minorHAnsi"/>
          <w:sz w:val="20"/>
          <w:szCs w:val="20"/>
        </w:rPr>
        <w:t xml:space="preserve"> </w:t>
      </w:r>
    </w:p>
    <w:p w:rsidR="000E540D" w:rsidRPr="00491C91" w:rsidRDefault="000E540D" w:rsidP="001A7310">
      <w:pPr>
        <w:pStyle w:val="Odstavecseseznamem"/>
        <w:numPr>
          <w:ilvl w:val="0"/>
          <w:numId w:val="12"/>
        </w:numPr>
        <w:spacing w:after="120" w:line="240" w:lineRule="auto"/>
        <w:ind w:left="426"/>
        <w:contextualSpacing w:val="0"/>
        <w:jc w:val="both"/>
        <w:rPr>
          <w:rFonts w:asciiTheme="minorHAnsi" w:hAnsiTheme="minorHAnsi"/>
          <w:sz w:val="20"/>
          <w:szCs w:val="20"/>
        </w:rPr>
      </w:pPr>
      <w:r w:rsidRPr="00491C91">
        <w:rPr>
          <w:rFonts w:asciiTheme="minorHAnsi" w:hAnsiTheme="minorHAnsi"/>
          <w:sz w:val="20"/>
          <w:szCs w:val="20"/>
        </w:rPr>
        <w:t xml:space="preserve">Příjemce je povinen označit originály účetních dokladů, prokazujících použití dotace, číslem této smlouvy. </w:t>
      </w:r>
      <w:r w:rsidRPr="00491C91">
        <w:rPr>
          <w:rFonts w:asciiTheme="minorHAnsi" w:hAnsiTheme="minorHAnsi"/>
          <w:sz w:val="20"/>
          <w:szCs w:val="20"/>
        </w:rPr>
        <w:br/>
        <w:t xml:space="preserve">U účetních dokladů, které nejsou plně hrazeny z dotace, je třeba uvést výši částky hrazené z dotace. </w:t>
      </w:r>
    </w:p>
    <w:p w:rsidR="000E540D" w:rsidRPr="00491C91" w:rsidRDefault="000E540D" w:rsidP="001A7310">
      <w:pPr>
        <w:pStyle w:val="Odstavecseseznamem"/>
        <w:numPr>
          <w:ilvl w:val="0"/>
          <w:numId w:val="12"/>
        </w:numPr>
        <w:spacing w:after="120" w:line="240" w:lineRule="auto"/>
        <w:ind w:left="426"/>
        <w:contextualSpacing w:val="0"/>
        <w:jc w:val="both"/>
        <w:rPr>
          <w:rFonts w:asciiTheme="minorHAnsi" w:hAnsiTheme="minorHAnsi"/>
          <w:sz w:val="20"/>
          <w:szCs w:val="20"/>
        </w:rPr>
      </w:pPr>
      <w:r w:rsidRPr="00491C91">
        <w:rPr>
          <w:rFonts w:asciiTheme="minorHAnsi" w:hAnsiTheme="minorHAnsi"/>
          <w:sz w:val="20"/>
          <w:szCs w:val="20"/>
        </w:rPr>
        <w:t xml:space="preserve">Příjemce je povinen uvádět Královéhradecký kraj jako poskytovatele části finančních prostředků. Při použití loga poskytovatele je příjemce povinen dodržet pravidla pro jeho použití dostupné </w:t>
      </w:r>
      <w:proofErr w:type="gramStart"/>
      <w:r w:rsidRPr="00491C91">
        <w:rPr>
          <w:rFonts w:asciiTheme="minorHAnsi" w:hAnsiTheme="minorHAnsi"/>
          <w:sz w:val="20"/>
          <w:szCs w:val="20"/>
        </w:rPr>
        <w:t>na</w:t>
      </w:r>
      <w:proofErr w:type="gramEnd"/>
      <w:r w:rsidRPr="00491C91">
        <w:rPr>
          <w:rFonts w:asciiTheme="minorHAnsi" w:hAnsiTheme="minorHAnsi"/>
          <w:sz w:val="20"/>
          <w:szCs w:val="20"/>
        </w:rPr>
        <w:t>: </w:t>
      </w:r>
      <w:hyperlink r:id="rId8" w:history="1">
        <w:r w:rsidRPr="00491C91">
          <w:rPr>
            <w:rStyle w:val="Hypertextovodkaz"/>
            <w:rFonts w:asciiTheme="minorHAnsi" w:hAnsiTheme="minorHAnsi"/>
            <w:sz w:val="20"/>
            <w:szCs w:val="20"/>
          </w:rPr>
          <w:t>http://dotace.</w:t>
        </w:r>
        <w:proofErr w:type="spellStart"/>
        <w:r w:rsidRPr="00491C91">
          <w:rPr>
            <w:rStyle w:val="Hypertextovodkaz"/>
            <w:rFonts w:asciiTheme="minorHAnsi" w:hAnsiTheme="minorHAnsi"/>
            <w:sz w:val="20"/>
            <w:szCs w:val="20"/>
          </w:rPr>
          <w:t>kr</w:t>
        </w:r>
        <w:proofErr w:type="spellEnd"/>
        <w:r w:rsidRPr="00491C91">
          <w:rPr>
            <w:rStyle w:val="Hypertextovodkaz"/>
            <w:rFonts w:asciiTheme="minorHAnsi" w:hAnsiTheme="minorHAnsi"/>
            <w:sz w:val="20"/>
            <w:szCs w:val="20"/>
          </w:rPr>
          <w:t>-kralovehradecky.cz</w:t>
        </w:r>
      </w:hyperlink>
      <w:r w:rsidRPr="00491C91">
        <w:rPr>
          <w:rFonts w:asciiTheme="minorHAnsi" w:hAnsiTheme="minorHAnsi"/>
          <w:sz w:val="20"/>
          <w:szCs w:val="20"/>
        </w:rPr>
        <w:t>.</w:t>
      </w:r>
    </w:p>
    <w:p w:rsidR="00277BB2" w:rsidRPr="00277BB2" w:rsidRDefault="000072D6" w:rsidP="001A7310">
      <w:pPr>
        <w:pStyle w:val="Odstavecseseznamem"/>
        <w:numPr>
          <w:ilvl w:val="0"/>
          <w:numId w:val="12"/>
        </w:numPr>
        <w:spacing w:after="120" w:line="240" w:lineRule="auto"/>
        <w:ind w:left="426"/>
        <w:contextualSpacing w:val="0"/>
        <w:jc w:val="both"/>
        <w:rPr>
          <w:rFonts w:asciiTheme="minorHAnsi" w:hAnsiTheme="minorHAnsi"/>
          <w:sz w:val="20"/>
          <w:szCs w:val="20"/>
        </w:rPr>
      </w:pPr>
      <w:r w:rsidRPr="000072D6">
        <w:rPr>
          <w:rFonts w:ascii="Calibri" w:hAnsi="Calibri"/>
          <w:sz w:val="20"/>
          <w:szCs w:val="20"/>
        </w:rPr>
        <w:t>Příjemce je povinen předat poskytovateli dotace její vyúčtování do 31. prosince roku, ve kterém byla realizace projektu ukončena. V případě, že ke dni ukončení realizace projektu nebyly ještě na účet příjemce připsány finanční prostředky od poskytovatele, je příjemce povinen předat toto vyúčtování nejpozději do 30 dnů od připsání finančních prostředků na jeho účet.</w:t>
      </w:r>
    </w:p>
    <w:p w:rsidR="00277BB2" w:rsidRPr="00277BB2" w:rsidRDefault="000072D6" w:rsidP="001A7310">
      <w:pPr>
        <w:pStyle w:val="Odstavecseseznamem"/>
        <w:numPr>
          <w:ilvl w:val="0"/>
          <w:numId w:val="12"/>
        </w:numPr>
        <w:spacing w:after="120" w:line="240" w:lineRule="auto"/>
        <w:ind w:left="426"/>
        <w:contextualSpacing w:val="0"/>
        <w:jc w:val="both"/>
        <w:rPr>
          <w:rFonts w:asciiTheme="minorHAnsi" w:hAnsiTheme="minorHAnsi"/>
          <w:sz w:val="20"/>
          <w:szCs w:val="20"/>
        </w:rPr>
      </w:pPr>
      <w:r w:rsidRPr="000072D6">
        <w:rPr>
          <w:rFonts w:ascii="Calibri" w:hAnsi="Calibri"/>
          <w:sz w:val="20"/>
          <w:szCs w:val="20"/>
        </w:rPr>
        <w:t>Za předání vyúčtování dotace je považováno jeho podání v listinné podobě</w:t>
      </w:r>
      <w:r w:rsidR="00BC4468">
        <w:rPr>
          <w:rFonts w:ascii="Calibri" w:hAnsi="Calibri"/>
          <w:sz w:val="20"/>
          <w:szCs w:val="20"/>
        </w:rPr>
        <w:t xml:space="preserve"> </w:t>
      </w:r>
      <w:r w:rsidR="00BC4468" w:rsidRPr="00491C91">
        <w:rPr>
          <w:rFonts w:asciiTheme="minorHAnsi" w:hAnsiTheme="minorHAnsi"/>
          <w:sz w:val="20"/>
          <w:szCs w:val="20"/>
        </w:rPr>
        <w:t xml:space="preserve">na formuláři určeném Královéhradeckým krajem (příloha </w:t>
      </w:r>
      <w:r w:rsidR="003E6005">
        <w:rPr>
          <w:rFonts w:asciiTheme="minorHAnsi" w:hAnsiTheme="minorHAnsi"/>
          <w:sz w:val="20"/>
          <w:szCs w:val="20"/>
        </w:rPr>
        <w:t xml:space="preserve">č. 1.1 </w:t>
      </w:r>
      <w:r w:rsidR="00BC4468" w:rsidRPr="00491C91">
        <w:rPr>
          <w:rFonts w:asciiTheme="minorHAnsi" w:hAnsiTheme="minorHAnsi"/>
          <w:sz w:val="20"/>
          <w:szCs w:val="20"/>
        </w:rPr>
        <w:t>Pravidel)</w:t>
      </w:r>
      <w:r w:rsidRPr="000072D6">
        <w:rPr>
          <w:rFonts w:ascii="Calibri" w:hAnsi="Calibri"/>
          <w:sz w:val="20"/>
          <w:szCs w:val="20"/>
        </w:rPr>
        <w:t>, podepsané statutárním zástupcem příjemce, k poskytovateli poštovních služeb nebo na podatelnu poskytovatele. Za den předání vyúčtování dotace se považuje den, kdy bylo vyúčtování dotace předáno poskytovateli poštovních služeb nebo na podatelnu poskytovatele.</w:t>
      </w:r>
    </w:p>
    <w:p w:rsidR="000E540D" w:rsidRPr="00491C91" w:rsidRDefault="000E540D" w:rsidP="001A7310">
      <w:pPr>
        <w:pStyle w:val="Odstavecseseznamem"/>
        <w:numPr>
          <w:ilvl w:val="0"/>
          <w:numId w:val="12"/>
        </w:numPr>
        <w:spacing w:after="120" w:line="240" w:lineRule="auto"/>
        <w:ind w:left="426"/>
        <w:contextualSpacing w:val="0"/>
        <w:jc w:val="both"/>
        <w:rPr>
          <w:rFonts w:asciiTheme="minorHAnsi" w:hAnsiTheme="minorHAnsi"/>
          <w:sz w:val="20"/>
          <w:szCs w:val="20"/>
        </w:rPr>
      </w:pPr>
      <w:r w:rsidRPr="00277BB2">
        <w:rPr>
          <w:rFonts w:asciiTheme="minorHAnsi" w:hAnsiTheme="minorHAnsi"/>
          <w:sz w:val="20"/>
          <w:szCs w:val="20"/>
        </w:rPr>
        <w:t xml:space="preserve">Příjemce je povinen nejpozději k termínu předložení finančního vyúčtování dotace vrátit případnou nepoužitou část dotace převodem na účet poskytovatele uvedený v záhlaví této smlouvy. Zároveň je povinen zaslat poskytovateli sdělení o vrácení dotace </w:t>
      </w:r>
      <w:r w:rsidR="00277BB2">
        <w:rPr>
          <w:rFonts w:asciiTheme="minorHAnsi" w:hAnsiTheme="minorHAnsi"/>
          <w:sz w:val="20"/>
          <w:szCs w:val="20"/>
        </w:rPr>
        <w:t>po</w:t>
      </w:r>
      <w:r w:rsidRPr="00277BB2">
        <w:rPr>
          <w:rFonts w:asciiTheme="minorHAnsi" w:hAnsiTheme="minorHAnsi"/>
          <w:sz w:val="20"/>
          <w:szCs w:val="20"/>
        </w:rPr>
        <w:t xml:space="preserve">dle předchozí věty. </w:t>
      </w:r>
    </w:p>
    <w:p w:rsidR="000E540D" w:rsidRPr="00491C91" w:rsidRDefault="000072D6" w:rsidP="00B40A96">
      <w:pPr>
        <w:pStyle w:val="Odstavecseseznamem"/>
        <w:numPr>
          <w:ilvl w:val="0"/>
          <w:numId w:val="12"/>
        </w:numPr>
        <w:spacing w:after="120" w:line="240" w:lineRule="auto"/>
        <w:ind w:left="357" w:hanging="357"/>
        <w:contextualSpacing w:val="0"/>
        <w:jc w:val="both"/>
        <w:rPr>
          <w:rFonts w:asciiTheme="minorHAnsi" w:hAnsiTheme="minorHAnsi"/>
          <w:sz w:val="20"/>
          <w:szCs w:val="20"/>
        </w:rPr>
      </w:pPr>
      <w:r w:rsidRPr="000072D6">
        <w:rPr>
          <w:rFonts w:asciiTheme="minorHAnsi" w:hAnsiTheme="minorHAnsi"/>
          <w:sz w:val="20"/>
          <w:szCs w:val="20"/>
        </w:rPr>
        <w:t xml:space="preserve">Vyúčtování musí </w:t>
      </w:r>
      <w:r w:rsidR="00531DA0">
        <w:rPr>
          <w:rFonts w:asciiTheme="minorHAnsi" w:hAnsiTheme="minorHAnsi"/>
          <w:sz w:val="20"/>
          <w:szCs w:val="20"/>
        </w:rPr>
        <w:t>být zpracováno na formuláři, který je přílohou č. 1.1 Pravidel</w:t>
      </w:r>
      <w:r w:rsidRPr="000072D6">
        <w:rPr>
          <w:rFonts w:asciiTheme="minorHAnsi" w:hAnsiTheme="minorHAnsi"/>
          <w:sz w:val="20"/>
          <w:szCs w:val="20"/>
        </w:rPr>
        <w:t xml:space="preserve">. Příjemce je povinen archivovat veškeré dokumenty související s poskytnutou dotací po dobu deseti let počínajících koncem účetního období, </w:t>
      </w:r>
      <w:r w:rsidR="00531DA0">
        <w:rPr>
          <w:rFonts w:asciiTheme="minorHAnsi" w:hAnsiTheme="minorHAnsi"/>
          <w:sz w:val="20"/>
          <w:szCs w:val="20"/>
        </w:rPr>
        <w:t xml:space="preserve">ve </w:t>
      </w:r>
      <w:r w:rsidRPr="000072D6">
        <w:rPr>
          <w:rFonts w:asciiTheme="minorHAnsi" w:hAnsiTheme="minorHAnsi"/>
          <w:sz w:val="20"/>
          <w:szCs w:val="20"/>
        </w:rPr>
        <w:t xml:space="preserve">kterém byla ukončena realizace předmětného projektu. </w:t>
      </w:r>
    </w:p>
    <w:p w:rsidR="000E540D" w:rsidRPr="00491C91" w:rsidRDefault="000E540D" w:rsidP="00B40A96">
      <w:pPr>
        <w:pStyle w:val="Odstavecseseznamem"/>
        <w:numPr>
          <w:ilvl w:val="0"/>
          <w:numId w:val="12"/>
        </w:numPr>
        <w:spacing w:after="120" w:line="240" w:lineRule="auto"/>
        <w:ind w:left="357" w:hanging="357"/>
        <w:contextualSpacing w:val="0"/>
        <w:jc w:val="both"/>
        <w:rPr>
          <w:rFonts w:asciiTheme="minorHAnsi" w:hAnsiTheme="minorHAnsi"/>
          <w:sz w:val="20"/>
          <w:szCs w:val="20"/>
        </w:rPr>
      </w:pPr>
      <w:r w:rsidRPr="00491C91">
        <w:rPr>
          <w:rFonts w:asciiTheme="minorHAnsi" w:hAnsiTheme="minorHAnsi"/>
          <w:sz w:val="20"/>
          <w:szCs w:val="20"/>
        </w:rPr>
        <w:t xml:space="preserve">Příjemce je povinen s veškerým majetkem získaným z dotace, byť i jen částečně, nakládat s péčí řádného hospodáře, zejména jej zabezpečit proti poškození, ztrátě nebo odcizení. Stav majetku, jeho evidenci v účetnictví a využívání pro činnost </w:t>
      </w:r>
      <w:r w:rsidR="006828ED">
        <w:rPr>
          <w:rFonts w:asciiTheme="minorHAnsi" w:hAnsiTheme="minorHAnsi"/>
          <w:sz w:val="20"/>
          <w:szCs w:val="20"/>
        </w:rPr>
        <w:t>příjemce</w:t>
      </w:r>
      <w:r w:rsidR="006828ED" w:rsidRPr="00491C91">
        <w:rPr>
          <w:rFonts w:asciiTheme="minorHAnsi" w:hAnsiTheme="minorHAnsi"/>
          <w:sz w:val="20"/>
          <w:szCs w:val="20"/>
        </w:rPr>
        <w:t xml:space="preserve"> </w:t>
      </w:r>
      <w:r w:rsidRPr="00491C91">
        <w:rPr>
          <w:rFonts w:asciiTheme="minorHAnsi" w:hAnsiTheme="minorHAnsi"/>
          <w:sz w:val="20"/>
          <w:szCs w:val="20"/>
        </w:rPr>
        <w:t xml:space="preserve">je příjemce povinen prokázat kdykoliv během </w:t>
      </w:r>
      <w:r w:rsidR="000B0821" w:rsidRPr="00491C91">
        <w:rPr>
          <w:rFonts w:asciiTheme="minorHAnsi" w:hAnsiTheme="minorHAnsi"/>
          <w:sz w:val="20"/>
          <w:szCs w:val="20"/>
        </w:rPr>
        <w:t>doby</w:t>
      </w:r>
      <w:r w:rsidR="006828ED">
        <w:rPr>
          <w:rFonts w:asciiTheme="minorHAnsi" w:hAnsiTheme="minorHAnsi"/>
          <w:sz w:val="20"/>
          <w:szCs w:val="20"/>
        </w:rPr>
        <w:t>, po kterou má majetek pořízen</w:t>
      </w:r>
      <w:r w:rsidR="001A1EC8">
        <w:rPr>
          <w:rFonts w:asciiTheme="minorHAnsi" w:hAnsiTheme="minorHAnsi"/>
          <w:sz w:val="20"/>
          <w:szCs w:val="20"/>
        </w:rPr>
        <w:t>ý</w:t>
      </w:r>
      <w:r w:rsidR="006828ED">
        <w:rPr>
          <w:rFonts w:asciiTheme="minorHAnsi" w:hAnsiTheme="minorHAnsi"/>
          <w:sz w:val="20"/>
          <w:szCs w:val="20"/>
        </w:rPr>
        <w:t xml:space="preserve"> z poskytnuté dotace ve svém vlastnictví, max. do uplynutí doby uvedené </w:t>
      </w:r>
      <w:r w:rsidR="00BB71B3">
        <w:rPr>
          <w:rFonts w:asciiTheme="minorHAnsi" w:hAnsiTheme="minorHAnsi"/>
          <w:sz w:val="20"/>
          <w:szCs w:val="20"/>
        </w:rPr>
        <w:t>v článku III.</w:t>
      </w:r>
      <w:r w:rsidR="006828ED">
        <w:rPr>
          <w:rFonts w:asciiTheme="minorHAnsi" w:hAnsiTheme="minorHAnsi"/>
          <w:sz w:val="20"/>
          <w:szCs w:val="20"/>
        </w:rPr>
        <w:t xml:space="preserve"> </w:t>
      </w:r>
      <w:r w:rsidR="00BB71B3">
        <w:rPr>
          <w:rFonts w:asciiTheme="minorHAnsi" w:hAnsiTheme="minorHAnsi"/>
          <w:sz w:val="20"/>
          <w:szCs w:val="20"/>
        </w:rPr>
        <w:t>odst.</w:t>
      </w:r>
      <w:r w:rsidR="006828ED">
        <w:rPr>
          <w:rFonts w:asciiTheme="minorHAnsi" w:hAnsiTheme="minorHAnsi"/>
          <w:sz w:val="20"/>
          <w:szCs w:val="20"/>
        </w:rPr>
        <w:t xml:space="preserve"> 14. této smlouvy</w:t>
      </w:r>
      <w:r w:rsidRPr="00491C91">
        <w:rPr>
          <w:rFonts w:asciiTheme="minorHAnsi" w:hAnsiTheme="minorHAnsi"/>
          <w:sz w:val="20"/>
          <w:szCs w:val="20"/>
        </w:rPr>
        <w:t xml:space="preserve">. </w:t>
      </w:r>
    </w:p>
    <w:p w:rsidR="00CB1703" w:rsidRPr="006E37B8" w:rsidRDefault="000E540D" w:rsidP="006E37B8">
      <w:pPr>
        <w:pStyle w:val="Odstavecseseznamem"/>
        <w:numPr>
          <w:ilvl w:val="0"/>
          <w:numId w:val="12"/>
        </w:numPr>
        <w:spacing w:after="120" w:line="240" w:lineRule="auto"/>
        <w:ind w:left="426"/>
        <w:contextualSpacing w:val="0"/>
        <w:jc w:val="both"/>
        <w:rPr>
          <w:rFonts w:asciiTheme="minorHAnsi" w:hAnsiTheme="minorHAnsi"/>
          <w:sz w:val="20"/>
          <w:szCs w:val="20"/>
        </w:rPr>
      </w:pPr>
      <w:r w:rsidRPr="00491C91">
        <w:rPr>
          <w:rFonts w:asciiTheme="minorHAnsi" w:hAnsiTheme="minorHAnsi"/>
          <w:sz w:val="20"/>
          <w:szCs w:val="20"/>
        </w:rPr>
        <w:t>Poskytovatel má právo využít případné informace a výstupy realizovaného projektu včetně digitální a</w:t>
      </w:r>
      <w:r w:rsidR="00E44094">
        <w:rPr>
          <w:rFonts w:asciiTheme="minorHAnsi" w:hAnsiTheme="minorHAnsi"/>
          <w:sz w:val="20"/>
          <w:szCs w:val="20"/>
        </w:rPr>
        <w:t> </w:t>
      </w:r>
      <w:r w:rsidRPr="00491C91">
        <w:rPr>
          <w:rFonts w:asciiTheme="minorHAnsi" w:hAnsiTheme="minorHAnsi"/>
          <w:sz w:val="20"/>
          <w:szCs w:val="20"/>
        </w:rPr>
        <w:t>tištěné prezentace k případnému poskytnutí třetí osobě</w:t>
      </w:r>
      <w:r w:rsidR="00E44094">
        <w:rPr>
          <w:rFonts w:asciiTheme="minorHAnsi" w:hAnsiTheme="minorHAnsi"/>
          <w:sz w:val="20"/>
          <w:szCs w:val="20"/>
        </w:rPr>
        <w:t>, a to bez souhlasu příjemce</w:t>
      </w:r>
      <w:r w:rsidRPr="00491C91">
        <w:rPr>
          <w:rFonts w:asciiTheme="minorHAnsi" w:hAnsiTheme="minorHAnsi"/>
          <w:sz w:val="20"/>
          <w:szCs w:val="20"/>
        </w:rPr>
        <w:t>. Příjemce je povinen toto právo poskytovatele strpět a zavazuje se mu poskytnout k jeho realizaci veškerou součinnost.</w:t>
      </w:r>
    </w:p>
    <w:p w:rsidR="000E540D" w:rsidRPr="007B25AE" w:rsidRDefault="00CB1703" w:rsidP="000B0821">
      <w:pPr>
        <w:pStyle w:val="Odstavecseseznamem"/>
        <w:numPr>
          <w:ilvl w:val="0"/>
          <w:numId w:val="12"/>
        </w:numPr>
        <w:spacing w:after="120" w:line="240" w:lineRule="auto"/>
        <w:ind w:left="426"/>
        <w:contextualSpacing w:val="0"/>
        <w:jc w:val="both"/>
        <w:rPr>
          <w:rFonts w:asciiTheme="minorHAnsi" w:hAnsiTheme="minorHAnsi"/>
          <w:sz w:val="20"/>
          <w:szCs w:val="20"/>
        </w:rPr>
      </w:pPr>
      <w:r>
        <w:rPr>
          <w:rFonts w:asciiTheme="minorHAnsi" w:hAnsiTheme="minorHAnsi"/>
          <w:sz w:val="20"/>
          <w:szCs w:val="20"/>
        </w:rPr>
        <w:t>Příjemce se zavazuje spolupracovat s kontrolami zejména ze stran: poskytovatele, třetích osob pověřených poskytovatelem, kteréhokoliv ministerstva, Evropské komise, E</w:t>
      </w:r>
      <w:r w:rsidR="000E540D" w:rsidRPr="007B25AE">
        <w:rPr>
          <w:rFonts w:asciiTheme="minorHAnsi" w:hAnsiTheme="minorHAnsi"/>
          <w:sz w:val="20"/>
          <w:szCs w:val="20"/>
        </w:rPr>
        <w:t>vropského účetního dvora a</w:t>
      </w:r>
      <w:r w:rsidR="007B25AE">
        <w:rPr>
          <w:rFonts w:asciiTheme="minorHAnsi" w:hAnsiTheme="minorHAnsi"/>
          <w:sz w:val="20"/>
          <w:szCs w:val="20"/>
        </w:rPr>
        <w:t> </w:t>
      </w:r>
      <w:r w:rsidR="000E540D" w:rsidRPr="007B25AE">
        <w:rPr>
          <w:rFonts w:asciiTheme="minorHAnsi" w:hAnsiTheme="minorHAnsi"/>
          <w:sz w:val="20"/>
          <w:szCs w:val="20"/>
        </w:rPr>
        <w:t>Nejvyššího kontrolního úřadu ČR (dále jen „kontrolní orgány“). Těmto subjektům je povinen zejména poskytovat informace, zpřístupnit veškerou dokumentaci k projektu, včetně účetních dokladů, prokazovat sporné skutečnosti, umožnit přístup do prostor, ve kterých je projekt realizován, popř. dalších souvisejících prostor, a na žádost poskytovatele se účastnit případných jednání a řízení, a to v termínu a na místě poskytovatelem určeném. O průběhu a výsledcích kontroly a případných příjemci uložených nápravných opatřeních ze strany některého kontrolního orgánu odlišného od poskytovatele, se příjemce zavazuje ve lhůtě deseti pracovních dnů od této kontroly, resp. uložení nápravného opatření, poskytovatele písemně informovat. Příjemce je povinen realizovat nápravná opatření, která mu byla uložena kontrolními orgány na základě  prováděných kontrol, a to v požadovaném termínu, rozsahu a kvalitě. Příjemce je dále povinen písemně informovat o splnění nápravných opatření ten kontrolní orgán, který tato nápravná opatření uložil, a poskytovatele, a to ve lhůtě deseti pracovních dnů od splnění těchto opatření.</w:t>
      </w:r>
    </w:p>
    <w:p w:rsidR="000E540D" w:rsidRPr="00491C91" w:rsidRDefault="000E540D" w:rsidP="000B0821">
      <w:pPr>
        <w:pStyle w:val="Odstavecseseznamem"/>
        <w:numPr>
          <w:ilvl w:val="0"/>
          <w:numId w:val="12"/>
        </w:numPr>
        <w:spacing w:after="120" w:line="240" w:lineRule="auto"/>
        <w:ind w:left="426"/>
        <w:contextualSpacing w:val="0"/>
        <w:jc w:val="both"/>
        <w:rPr>
          <w:rFonts w:asciiTheme="minorHAnsi" w:hAnsiTheme="minorHAnsi"/>
          <w:sz w:val="20"/>
          <w:szCs w:val="20"/>
        </w:rPr>
      </w:pPr>
      <w:r w:rsidRPr="007B25AE">
        <w:rPr>
          <w:rFonts w:asciiTheme="minorHAnsi" w:hAnsiTheme="minorHAnsi"/>
          <w:sz w:val="20"/>
          <w:szCs w:val="20"/>
        </w:rPr>
        <w:lastRenderedPageBreak/>
        <w:t>Příjemce je při naplňování projektu povinen prosazovat princip rovných příležitostí, rovnosti mužů a žen a</w:t>
      </w:r>
      <w:r w:rsidR="007B25AE">
        <w:rPr>
          <w:rFonts w:asciiTheme="minorHAnsi" w:hAnsiTheme="minorHAnsi"/>
          <w:sz w:val="20"/>
          <w:szCs w:val="20"/>
        </w:rPr>
        <w:t> </w:t>
      </w:r>
      <w:r w:rsidRPr="007B25AE">
        <w:rPr>
          <w:rFonts w:asciiTheme="minorHAnsi" w:hAnsiTheme="minorHAnsi"/>
          <w:sz w:val="20"/>
          <w:szCs w:val="20"/>
        </w:rPr>
        <w:t>princip nediskriminace, zejm</w:t>
      </w:r>
      <w:r w:rsidRPr="00491C91">
        <w:rPr>
          <w:rFonts w:asciiTheme="minorHAnsi" w:hAnsiTheme="minorHAnsi"/>
          <w:sz w:val="20"/>
          <w:szCs w:val="20"/>
        </w:rPr>
        <w:t xml:space="preserve">éna s ohledem na osoby se zdravotním postižením. </w:t>
      </w:r>
    </w:p>
    <w:p w:rsidR="00946947" w:rsidRPr="00491C91" w:rsidRDefault="00946947" w:rsidP="00A0405E">
      <w:pPr>
        <w:spacing w:after="0" w:line="240" w:lineRule="auto"/>
        <w:jc w:val="both"/>
      </w:pPr>
    </w:p>
    <w:p w:rsidR="000B0821" w:rsidRPr="00491C91" w:rsidRDefault="000B0821" w:rsidP="000B0821">
      <w:pPr>
        <w:pStyle w:val="Odstavecseseznamem"/>
        <w:spacing w:before="120" w:after="0" w:line="240" w:lineRule="auto"/>
        <w:ind w:left="0"/>
        <w:contextualSpacing w:val="0"/>
        <w:jc w:val="center"/>
        <w:rPr>
          <w:rFonts w:asciiTheme="minorHAnsi" w:hAnsiTheme="minorHAnsi"/>
          <w:b/>
          <w:sz w:val="20"/>
          <w:szCs w:val="20"/>
        </w:rPr>
      </w:pPr>
      <w:r w:rsidRPr="00491C91">
        <w:rPr>
          <w:rFonts w:asciiTheme="minorHAnsi" w:hAnsiTheme="minorHAnsi"/>
          <w:b/>
          <w:sz w:val="20"/>
          <w:szCs w:val="20"/>
        </w:rPr>
        <w:t>IV.</w:t>
      </w:r>
    </w:p>
    <w:p w:rsidR="000B0821" w:rsidRPr="00491C91" w:rsidRDefault="000B0821" w:rsidP="000B0821">
      <w:pPr>
        <w:spacing w:after="120"/>
        <w:ind w:left="357"/>
        <w:jc w:val="center"/>
        <w:rPr>
          <w:rFonts w:ascii="Calibri" w:hAnsi="Calibri"/>
          <w:sz w:val="20"/>
          <w:szCs w:val="20"/>
        </w:rPr>
      </w:pPr>
      <w:r w:rsidRPr="00491C91">
        <w:rPr>
          <w:rFonts w:ascii="Calibri" w:hAnsi="Calibri"/>
          <w:b/>
          <w:sz w:val="20"/>
          <w:szCs w:val="20"/>
        </w:rPr>
        <w:t>Změny v projektu, změny účelu dotace</w:t>
      </w:r>
    </w:p>
    <w:p w:rsidR="007B25AE" w:rsidRPr="007B25AE" w:rsidRDefault="000B0821" w:rsidP="007B25AE">
      <w:pPr>
        <w:numPr>
          <w:ilvl w:val="0"/>
          <w:numId w:val="13"/>
        </w:numPr>
        <w:spacing w:after="120" w:line="240" w:lineRule="auto"/>
        <w:ind w:left="357" w:hanging="357"/>
        <w:jc w:val="both"/>
        <w:rPr>
          <w:rFonts w:asciiTheme="minorHAnsi" w:hAnsiTheme="minorHAnsi"/>
          <w:sz w:val="20"/>
          <w:szCs w:val="20"/>
        </w:rPr>
      </w:pPr>
      <w:r w:rsidRPr="00491C91">
        <w:rPr>
          <w:rFonts w:asciiTheme="minorHAnsi" w:hAnsiTheme="minorHAnsi"/>
          <w:b/>
          <w:sz w:val="20"/>
          <w:szCs w:val="20"/>
        </w:rPr>
        <w:tab/>
      </w:r>
      <w:r w:rsidR="000072D6" w:rsidRPr="000072D6">
        <w:rPr>
          <w:rFonts w:asciiTheme="minorHAnsi" w:hAnsiTheme="minorHAnsi"/>
          <w:sz w:val="20"/>
          <w:szCs w:val="20"/>
        </w:rPr>
        <w:t xml:space="preserve">Příjemce je povinen průběžně a prokazatelným způsobem informovat poskytovatele o všech změnách souvisejících s projektem (např. změna v harmonogramu, změna statutárního orgánu, zánik příjemce, sloučení s jiným příjemcem apod.), vyjma změny účelu a charakteru dotace, nejpozději do 7 dnů ode dne, kdy se o změnách dozvěděl.  </w:t>
      </w:r>
    </w:p>
    <w:p w:rsidR="007B25AE" w:rsidRPr="007B25AE" w:rsidRDefault="000072D6" w:rsidP="007B25AE">
      <w:pPr>
        <w:numPr>
          <w:ilvl w:val="0"/>
          <w:numId w:val="13"/>
        </w:numPr>
        <w:spacing w:after="120" w:line="240" w:lineRule="auto"/>
        <w:ind w:left="357" w:hanging="357"/>
        <w:jc w:val="both"/>
        <w:rPr>
          <w:rFonts w:asciiTheme="minorHAnsi" w:hAnsiTheme="minorHAnsi"/>
          <w:sz w:val="20"/>
          <w:szCs w:val="20"/>
        </w:rPr>
      </w:pPr>
      <w:r w:rsidRPr="000072D6">
        <w:rPr>
          <w:rFonts w:asciiTheme="minorHAnsi" w:hAnsiTheme="minorHAnsi"/>
          <w:sz w:val="20"/>
          <w:szCs w:val="20"/>
        </w:rPr>
        <w:t xml:space="preserve">O změnách podmínek čerpání přidělené dotace (přesuny mezi jednotlivými položkami) a změnách doby realizace projektu rozhoduje hejtman Královéhradeckého kraje nebo jím pověřený vedoucí odboru regionálního rozvoje, grantů a dotací. Podmínkou je zachování podmínek uvedených v článku VIII. odst. 4 Zásad. Hejtman Královéhradeckého kraje může též rozhodovat o změnách termínů předložení dokladů prokazujících správnost využití poskytnuté dotace – pokud se jedná o stejného příjemce dotace, stejný projekt, shodnou výši přidělené dotace při zachování původního schváleného účelu dotace.   </w:t>
      </w:r>
    </w:p>
    <w:p w:rsidR="007B25AE" w:rsidRPr="007B25AE" w:rsidRDefault="000072D6" w:rsidP="007B25AE">
      <w:pPr>
        <w:numPr>
          <w:ilvl w:val="0"/>
          <w:numId w:val="13"/>
        </w:numPr>
        <w:spacing w:after="120" w:line="240" w:lineRule="auto"/>
        <w:ind w:left="357" w:hanging="357"/>
        <w:jc w:val="both"/>
        <w:rPr>
          <w:rFonts w:asciiTheme="minorHAnsi" w:hAnsiTheme="minorHAnsi"/>
          <w:sz w:val="20"/>
          <w:szCs w:val="20"/>
        </w:rPr>
      </w:pPr>
      <w:r w:rsidRPr="000072D6">
        <w:rPr>
          <w:rFonts w:asciiTheme="minorHAnsi" w:hAnsiTheme="minorHAnsi"/>
          <w:sz w:val="20"/>
          <w:szCs w:val="20"/>
        </w:rPr>
        <w:t xml:space="preserve">Změny účelu či charakteru dotace vyžadují změnu smlouvy. Příjemce je povinen oznámit tyto změny poskytovateli prokazatelným způsobem nejméně 60 dní před ukončením realizace projektu a uskutečnit je pouze s předchozím písemným souhlasem poskytovatele. </w:t>
      </w:r>
    </w:p>
    <w:p w:rsidR="000B0821" w:rsidRDefault="000072D6" w:rsidP="007B25AE">
      <w:pPr>
        <w:numPr>
          <w:ilvl w:val="0"/>
          <w:numId w:val="13"/>
        </w:numPr>
        <w:spacing w:after="120" w:line="240" w:lineRule="auto"/>
        <w:ind w:left="357" w:hanging="357"/>
        <w:jc w:val="both"/>
        <w:rPr>
          <w:rFonts w:asciiTheme="minorHAnsi" w:hAnsiTheme="minorHAnsi"/>
          <w:sz w:val="20"/>
          <w:szCs w:val="20"/>
        </w:rPr>
      </w:pPr>
      <w:r w:rsidRPr="000072D6">
        <w:rPr>
          <w:rFonts w:asciiTheme="minorHAnsi" w:hAnsiTheme="minorHAnsi"/>
          <w:sz w:val="20"/>
          <w:szCs w:val="20"/>
        </w:rPr>
        <w:t>V případě, že realizace projektu byla ukončena před uzavřením smlouvy, musí příjemce tyto změny oznámit současně s podpisem smlouvy.</w:t>
      </w:r>
    </w:p>
    <w:p w:rsidR="0024671D" w:rsidRPr="007B25AE" w:rsidRDefault="0024671D" w:rsidP="0024671D">
      <w:pPr>
        <w:spacing w:after="120" w:line="240" w:lineRule="auto"/>
        <w:ind w:left="357"/>
        <w:jc w:val="both"/>
        <w:rPr>
          <w:rFonts w:asciiTheme="minorHAnsi" w:hAnsiTheme="minorHAnsi"/>
          <w:sz w:val="20"/>
          <w:szCs w:val="20"/>
        </w:rPr>
      </w:pPr>
    </w:p>
    <w:p w:rsidR="008662FC" w:rsidRPr="00491C91" w:rsidRDefault="000B0821" w:rsidP="008662FC">
      <w:pPr>
        <w:keepNext/>
        <w:keepLines/>
        <w:spacing w:after="0"/>
        <w:jc w:val="center"/>
        <w:rPr>
          <w:rFonts w:ascii="Calibri" w:hAnsi="Calibri"/>
          <w:b/>
          <w:bCs/>
          <w:sz w:val="20"/>
          <w:szCs w:val="20"/>
        </w:rPr>
      </w:pPr>
      <w:r w:rsidRPr="00491C91">
        <w:rPr>
          <w:rFonts w:ascii="Calibri" w:hAnsi="Calibri"/>
          <w:b/>
          <w:bCs/>
          <w:sz w:val="20"/>
          <w:szCs w:val="20"/>
        </w:rPr>
        <w:t>V.</w:t>
      </w:r>
    </w:p>
    <w:p w:rsidR="000B0821" w:rsidRPr="00491C91" w:rsidRDefault="000B0821" w:rsidP="008662FC">
      <w:pPr>
        <w:keepNext/>
        <w:keepLines/>
        <w:spacing w:after="0"/>
        <w:jc w:val="center"/>
        <w:rPr>
          <w:rFonts w:ascii="Calibri" w:hAnsi="Calibri"/>
          <w:b/>
          <w:bCs/>
          <w:sz w:val="20"/>
          <w:szCs w:val="20"/>
        </w:rPr>
      </w:pPr>
      <w:r w:rsidRPr="00491C91">
        <w:rPr>
          <w:rFonts w:ascii="Calibri" w:hAnsi="Calibri"/>
          <w:b/>
          <w:bCs/>
          <w:sz w:val="20"/>
          <w:szCs w:val="20"/>
        </w:rPr>
        <w:t>Kontrola</w:t>
      </w:r>
    </w:p>
    <w:p w:rsidR="000B0821" w:rsidRPr="007B25AE" w:rsidRDefault="000072D6" w:rsidP="000B0821">
      <w:pPr>
        <w:numPr>
          <w:ilvl w:val="0"/>
          <w:numId w:val="14"/>
        </w:numPr>
        <w:tabs>
          <w:tab w:val="clear" w:pos="720"/>
          <w:tab w:val="num" w:pos="360"/>
        </w:tabs>
        <w:spacing w:after="120" w:line="240" w:lineRule="auto"/>
        <w:ind w:left="357" w:hanging="357"/>
        <w:jc w:val="both"/>
        <w:rPr>
          <w:rFonts w:ascii="Calibri" w:hAnsi="Calibri"/>
          <w:sz w:val="20"/>
          <w:szCs w:val="20"/>
        </w:rPr>
      </w:pPr>
      <w:r w:rsidRPr="000072D6">
        <w:rPr>
          <w:rFonts w:ascii="Calibri" w:hAnsi="Calibri"/>
          <w:sz w:val="20"/>
          <w:szCs w:val="20"/>
        </w:rPr>
        <w:t>Příslušné orgány poskytovatele či osoby pověřené poskytovatelem jsou oprávněny kdykoli kontrolovat dodržení podmínek, za kterých byla dotace poskytnuta, v souladu se zákonem o finanční kontrole, zákonem o krajích a zákona č. 250/2000 Sb.</w:t>
      </w:r>
    </w:p>
    <w:p w:rsidR="000B0821" w:rsidRPr="00491C91" w:rsidRDefault="000072D6" w:rsidP="000B0821">
      <w:pPr>
        <w:numPr>
          <w:ilvl w:val="0"/>
          <w:numId w:val="14"/>
        </w:numPr>
        <w:tabs>
          <w:tab w:val="clear" w:pos="720"/>
          <w:tab w:val="num" w:pos="360"/>
        </w:tabs>
        <w:spacing w:after="120" w:line="240" w:lineRule="auto"/>
        <w:ind w:left="357" w:hanging="357"/>
        <w:jc w:val="both"/>
        <w:rPr>
          <w:rFonts w:ascii="Calibri" w:hAnsi="Calibri"/>
          <w:bCs/>
          <w:sz w:val="20"/>
          <w:szCs w:val="20"/>
        </w:rPr>
      </w:pPr>
      <w:r w:rsidRPr="000072D6">
        <w:rPr>
          <w:rFonts w:ascii="Calibri" w:hAnsi="Calibri"/>
          <w:bCs/>
          <w:sz w:val="20"/>
          <w:szCs w:val="20"/>
        </w:rPr>
        <w:t xml:space="preserve">Příjemce je povinen poskytnout součinnost při výkonu kontrolní činnosti podle </w:t>
      </w:r>
      <w:r w:rsidR="00BB71B3">
        <w:rPr>
          <w:rFonts w:ascii="Calibri" w:hAnsi="Calibri"/>
          <w:bCs/>
          <w:sz w:val="20"/>
          <w:szCs w:val="20"/>
        </w:rPr>
        <w:t>odst.</w:t>
      </w:r>
      <w:r w:rsidRPr="000072D6">
        <w:rPr>
          <w:rFonts w:ascii="Calibri" w:hAnsi="Calibri"/>
          <w:bCs/>
          <w:sz w:val="20"/>
          <w:szCs w:val="20"/>
        </w:rPr>
        <w:t xml:space="preserve"> 1. tohoto článku a předložit kdykoliv na vyžádání k nahlédnutí kontrolním orgánům poskytovatele či osobám pověřeným poskytovatelem originály účetních dokladů, prokazujících využití finančních prostředků v souladu s účelem </w:t>
      </w:r>
      <w:r w:rsidRPr="000072D6">
        <w:rPr>
          <w:rFonts w:ascii="Calibri" w:hAnsi="Calibri"/>
          <w:sz w:val="20"/>
          <w:szCs w:val="20"/>
        </w:rPr>
        <w:t>projektu</w:t>
      </w:r>
      <w:r w:rsidRPr="000072D6">
        <w:rPr>
          <w:rFonts w:ascii="Calibri" w:hAnsi="Calibri"/>
          <w:bCs/>
          <w:sz w:val="20"/>
          <w:szCs w:val="20"/>
        </w:rPr>
        <w:t>. Dále je příjemce povinen umožnit kontrolním orgánům kontrolu hospodaření s prostředky poskytovatele a účetnictví celého projektu včetně vazby na své celkové účetnictví ve lhůtě uv</w:t>
      </w:r>
      <w:r w:rsidR="00BB71B3">
        <w:rPr>
          <w:rFonts w:ascii="Calibri" w:hAnsi="Calibri"/>
          <w:bCs/>
          <w:sz w:val="20"/>
          <w:szCs w:val="20"/>
        </w:rPr>
        <w:t>edené ve třetí větě článku III.</w:t>
      </w:r>
      <w:r w:rsidRPr="000072D6">
        <w:rPr>
          <w:rFonts w:ascii="Calibri" w:hAnsi="Calibri"/>
          <w:bCs/>
          <w:sz w:val="20"/>
          <w:szCs w:val="20"/>
        </w:rPr>
        <w:t xml:space="preserve"> </w:t>
      </w:r>
      <w:r w:rsidR="00BB71B3">
        <w:rPr>
          <w:rFonts w:ascii="Calibri" w:hAnsi="Calibri"/>
          <w:bCs/>
          <w:sz w:val="20"/>
          <w:szCs w:val="20"/>
        </w:rPr>
        <w:t>odst.</w:t>
      </w:r>
      <w:r w:rsidRPr="000072D6">
        <w:rPr>
          <w:rFonts w:ascii="Calibri" w:hAnsi="Calibri"/>
          <w:bCs/>
          <w:sz w:val="20"/>
          <w:szCs w:val="20"/>
        </w:rPr>
        <w:t xml:space="preserve"> 14 této smlouvy.</w:t>
      </w:r>
    </w:p>
    <w:p w:rsidR="000B0821" w:rsidRDefault="000B0821" w:rsidP="000B0821">
      <w:pPr>
        <w:numPr>
          <w:ilvl w:val="0"/>
          <w:numId w:val="14"/>
        </w:numPr>
        <w:tabs>
          <w:tab w:val="clear" w:pos="720"/>
          <w:tab w:val="num" w:pos="360"/>
        </w:tabs>
        <w:spacing w:after="120" w:line="240" w:lineRule="auto"/>
        <w:ind w:left="357" w:hanging="357"/>
        <w:jc w:val="both"/>
        <w:rPr>
          <w:rFonts w:ascii="Calibri" w:hAnsi="Calibri"/>
          <w:sz w:val="20"/>
          <w:szCs w:val="20"/>
        </w:rPr>
      </w:pPr>
      <w:r w:rsidRPr="00491C91">
        <w:rPr>
          <w:rFonts w:ascii="Calibri" w:hAnsi="Calibri"/>
          <w:sz w:val="20"/>
          <w:szCs w:val="20"/>
        </w:rPr>
        <w:t xml:space="preserve">Za pravdivost i správnost vyúčtování dotace odpovídá osoba oprávněná jednat jménem příjemce, </w:t>
      </w:r>
      <w:r w:rsidRPr="00491C91">
        <w:rPr>
          <w:rFonts w:ascii="Calibri" w:hAnsi="Calibri"/>
          <w:sz w:val="20"/>
          <w:szCs w:val="20"/>
        </w:rPr>
        <w:br/>
        <w:t>která tuto skutečnost ve vyúčtování dotace písemně potvrdí.</w:t>
      </w:r>
    </w:p>
    <w:p w:rsidR="004C5007" w:rsidRPr="00491C91" w:rsidRDefault="004C5007" w:rsidP="004C5007">
      <w:pPr>
        <w:spacing w:after="120" w:line="240" w:lineRule="auto"/>
        <w:ind w:left="357"/>
        <w:jc w:val="both"/>
        <w:rPr>
          <w:rFonts w:ascii="Calibri" w:hAnsi="Calibri"/>
          <w:sz w:val="20"/>
          <w:szCs w:val="20"/>
        </w:rPr>
      </w:pPr>
    </w:p>
    <w:p w:rsidR="000B0821" w:rsidRPr="00491C91" w:rsidRDefault="000B0821" w:rsidP="008662FC">
      <w:pPr>
        <w:keepNext/>
        <w:keepLines/>
        <w:spacing w:after="0"/>
        <w:jc w:val="center"/>
        <w:rPr>
          <w:rFonts w:ascii="Calibri" w:hAnsi="Calibri"/>
          <w:b/>
          <w:sz w:val="20"/>
          <w:szCs w:val="20"/>
        </w:rPr>
      </w:pPr>
      <w:r w:rsidRPr="00491C91">
        <w:rPr>
          <w:rFonts w:ascii="Calibri" w:hAnsi="Calibri"/>
          <w:b/>
          <w:sz w:val="20"/>
          <w:szCs w:val="20"/>
        </w:rPr>
        <w:t>VI.</w:t>
      </w:r>
    </w:p>
    <w:p w:rsidR="000B0821" w:rsidRPr="00491C91" w:rsidRDefault="000B0821" w:rsidP="008662FC">
      <w:pPr>
        <w:spacing w:after="0"/>
        <w:jc w:val="center"/>
        <w:rPr>
          <w:rFonts w:ascii="Calibri" w:hAnsi="Calibri"/>
          <w:b/>
          <w:sz w:val="20"/>
          <w:szCs w:val="20"/>
        </w:rPr>
      </w:pPr>
      <w:r w:rsidRPr="00491C91">
        <w:rPr>
          <w:rFonts w:ascii="Calibri" w:hAnsi="Calibri"/>
          <w:b/>
          <w:sz w:val="20"/>
          <w:szCs w:val="20"/>
        </w:rPr>
        <w:t>Důsledky porušení povinností příjemce</w:t>
      </w:r>
    </w:p>
    <w:p w:rsidR="000B0821" w:rsidRPr="007B25AE" w:rsidRDefault="000072D6" w:rsidP="000B0821">
      <w:pPr>
        <w:numPr>
          <w:ilvl w:val="0"/>
          <w:numId w:val="15"/>
        </w:numPr>
        <w:spacing w:after="120" w:line="240" w:lineRule="auto"/>
        <w:ind w:left="357" w:hanging="357"/>
        <w:jc w:val="both"/>
        <w:rPr>
          <w:rFonts w:asciiTheme="minorHAnsi" w:hAnsiTheme="minorHAnsi"/>
          <w:sz w:val="20"/>
          <w:szCs w:val="20"/>
        </w:rPr>
      </w:pPr>
      <w:r w:rsidRPr="000072D6">
        <w:rPr>
          <w:rFonts w:asciiTheme="minorHAnsi" w:hAnsiTheme="minorHAnsi"/>
          <w:sz w:val="20"/>
          <w:szCs w:val="20"/>
        </w:rPr>
        <w:t xml:space="preserve">Dojde-li ze strany příjemce k porušení této smlouvy, dotačního programu, souvisejících dokumentů či právních předpisů, jde o porušení rozpočtové kázně ve smyslu </w:t>
      </w:r>
      <w:r w:rsidR="00435F18">
        <w:rPr>
          <w:rFonts w:asciiTheme="minorHAnsi" w:hAnsiTheme="minorHAnsi"/>
          <w:sz w:val="20"/>
          <w:szCs w:val="20"/>
        </w:rPr>
        <w:t xml:space="preserve">ustanovení </w:t>
      </w:r>
      <w:r w:rsidRPr="000072D6">
        <w:rPr>
          <w:rFonts w:asciiTheme="minorHAnsi" w:hAnsiTheme="minorHAnsi"/>
          <w:sz w:val="20"/>
          <w:szCs w:val="20"/>
        </w:rPr>
        <w:t>§ 22 zákona č. 250/2000 Sb., a</w:t>
      </w:r>
      <w:r w:rsidR="00435F18">
        <w:rPr>
          <w:rFonts w:asciiTheme="minorHAnsi" w:hAnsiTheme="minorHAnsi"/>
          <w:sz w:val="20"/>
          <w:szCs w:val="20"/>
        </w:rPr>
        <w:t> </w:t>
      </w:r>
      <w:r w:rsidRPr="000072D6">
        <w:rPr>
          <w:rFonts w:asciiTheme="minorHAnsi" w:hAnsiTheme="minorHAnsi"/>
          <w:sz w:val="20"/>
          <w:szCs w:val="20"/>
        </w:rPr>
        <w:t xml:space="preserve">poskytovatel je oprávněn tuto smlouvu vypovědět. Za porušení rozpočtové kázně se považuje též uvedení jakýchkoli nepravdivých informací, údajů či prohlášení ze strany příjemce souvisejících s projektem (zejména uvedených v článku VIII. </w:t>
      </w:r>
      <w:r w:rsidR="00BB71B3">
        <w:rPr>
          <w:rFonts w:asciiTheme="minorHAnsi" w:hAnsiTheme="minorHAnsi"/>
          <w:sz w:val="20"/>
          <w:szCs w:val="20"/>
        </w:rPr>
        <w:t>odst.</w:t>
      </w:r>
      <w:r w:rsidRPr="000072D6">
        <w:rPr>
          <w:rFonts w:asciiTheme="minorHAnsi" w:hAnsiTheme="minorHAnsi"/>
          <w:sz w:val="20"/>
          <w:szCs w:val="20"/>
        </w:rPr>
        <w:t xml:space="preserve"> 4. a 5.</w:t>
      </w:r>
      <w:r w:rsidR="00DE19D6">
        <w:rPr>
          <w:rFonts w:asciiTheme="minorHAnsi" w:hAnsiTheme="minorHAnsi"/>
          <w:sz w:val="20"/>
          <w:szCs w:val="20"/>
        </w:rPr>
        <w:t xml:space="preserve"> této smlouvy</w:t>
      </w:r>
      <w:r w:rsidRPr="000072D6">
        <w:rPr>
          <w:rFonts w:asciiTheme="minorHAnsi" w:hAnsiTheme="minorHAnsi"/>
          <w:sz w:val="20"/>
          <w:szCs w:val="20"/>
        </w:rPr>
        <w:t>).</w:t>
      </w:r>
    </w:p>
    <w:p w:rsidR="000B0821" w:rsidRPr="007B25AE" w:rsidRDefault="000072D6" w:rsidP="000B0821">
      <w:pPr>
        <w:numPr>
          <w:ilvl w:val="0"/>
          <w:numId w:val="15"/>
        </w:numPr>
        <w:spacing w:after="120" w:line="240" w:lineRule="auto"/>
        <w:ind w:left="357" w:hanging="357"/>
        <w:jc w:val="both"/>
        <w:rPr>
          <w:rFonts w:asciiTheme="minorHAnsi" w:hAnsiTheme="minorHAnsi"/>
          <w:sz w:val="20"/>
          <w:szCs w:val="20"/>
        </w:rPr>
      </w:pPr>
      <w:r w:rsidRPr="000072D6">
        <w:rPr>
          <w:rFonts w:asciiTheme="minorHAnsi" w:hAnsiTheme="minorHAnsi"/>
          <w:sz w:val="20"/>
          <w:szCs w:val="20"/>
        </w:rPr>
        <w:t xml:space="preserve">Pokud se příjemce dopustí porušení rozpočtové kázně podle </w:t>
      </w:r>
      <w:r w:rsidR="00BB71B3">
        <w:rPr>
          <w:rFonts w:asciiTheme="minorHAnsi" w:hAnsiTheme="minorHAnsi"/>
          <w:sz w:val="20"/>
          <w:szCs w:val="20"/>
        </w:rPr>
        <w:t>odst.</w:t>
      </w:r>
      <w:r w:rsidRPr="000072D6">
        <w:rPr>
          <w:rFonts w:asciiTheme="minorHAnsi" w:hAnsiTheme="minorHAnsi"/>
          <w:sz w:val="20"/>
          <w:szCs w:val="20"/>
        </w:rPr>
        <w:t xml:space="preserve"> 1</w:t>
      </w:r>
      <w:r w:rsidR="00435F18">
        <w:rPr>
          <w:rFonts w:asciiTheme="minorHAnsi" w:hAnsiTheme="minorHAnsi"/>
          <w:sz w:val="20"/>
          <w:szCs w:val="20"/>
        </w:rPr>
        <w:t>.</w:t>
      </w:r>
      <w:r w:rsidRPr="000072D6">
        <w:rPr>
          <w:rFonts w:asciiTheme="minorHAnsi" w:hAnsiTheme="minorHAnsi"/>
          <w:sz w:val="20"/>
          <w:szCs w:val="20"/>
        </w:rPr>
        <w:t xml:space="preserve">, je povinen provést poskytovateli odvod, který odpovídá částce neoprávněně použitých nebo zadržených prostředků včetně penále v souladu s ustanovením § 22 zákona č. 250/2000 Sb., a to nejpozději do 15 dnů od zjištění porušení rozpočtové kázně. Porušením rozpočtové kázně je každé neoprávněné použití nebo zadržení peněžních prostředků poskytnutých z rozpočtu poskytovatele, definované v ustanovení § 22 zákona č. 250/2000 Sb. Poskytovatel bude postupovat při ukládání odvodu včetně penále a jejich vymáhání podle ustanovení § 22 a </w:t>
      </w:r>
      <w:proofErr w:type="spellStart"/>
      <w:r w:rsidRPr="000072D6">
        <w:rPr>
          <w:rFonts w:asciiTheme="minorHAnsi" w:hAnsiTheme="minorHAnsi"/>
          <w:sz w:val="20"/>
          <w:szCs w:val="20"/>
        </w:rPr>
        <w:t>násl</w:t>
      </w:r>
      <w:proofErr w:type="spellEnd"/>
      <w:r w:rsidRPr="000072D6">
        <w:rPr>
          <w:rFonts w:asciiTheme="minorHAnsi" w:hAnsiTheme="minorHAnsi"/>
          <w:sz w:val="20"/>
          <w:szCs w:val="20"/>
        </w:rPr>
        <w:t>. zákona č. 250/2000 Sb.</w:t>
      </w:r>
    </w:p>
    <w:p w:rsidR="007B25AE" w:rsidRPr="007B25AE" w:rsidRDefault="00BB71B3" w:rsidP="007B25AE">
      <w:pPr>
        <w:numPr>
          <w:ilvl w:val="0"/>
          <w:numId w:val="15"/>
        </w:numPr>
        <w:spacing w:after="120" w:line="240" w:lineRule="auto"/>
        <w:jc w:val="both"/>
        <w:rPr>
          <w:rFonts w:asciiTheme="minorHAnsi" w:hAnsiTheme="minorHAnsi"/>
          <w:sz w:val="20"/>
          <w:szCs w:val="20"/>
        </w:rPr>
      </w:pPr>
      <w:r>
        <w:rPr>
          <w:rFonts w:asciiTheme="minorHAnsi" w:hAnsiTheme="minorHAnsi"/>
          <w:sz w:val="20"/>
          <w:szCs w:val="20"/>
        </w:rPr>
        <w:lastRenderedPageBreak/>
        <w:t xml:space="preserve">Výše odvodů podle </w:t>
      </w:r>
      <w:r w:rsidR="000072D6" w:rsidRPr="000072D6">
        <w:rPr>
          <w:rFonts w:asciiTheme="minorHAnsi" w:hAnsiTheme="minorHAnsi"/>
          <w:sz w:val="20"/>
          <w:szCs w:val="20"/>
        </w:rPr>
        <w:t>od</w:t>
      </w:r>
      <w:r>
        <w:rPr>
          <w:rFonts w:asciiTheme="minorHAnsi" w:hAnsiTheme="minorHAnsi"/>
          <w:sz w:val="20"/>
          <w:szCs w:val="20"/>
        </w:rPr>
        <w:t>st.</w:t>
      </w:r>
      <w:r w:rsidR="000072D6" w:rsidRPr="000072D6">
        <w:rPr>
          <w:rFonts w:asciiTheme="minorHAnsi" w:hAnsiTheme="minorHAnsi"/>
          <w:sz w:val="20"/>
          <w:szCs w:val="20"/>
        </w:rPr>
        <w:t xml:space="preserve"> 2. tohoto článku je stanovena takto:</w:t>
      </w:r>
    </w:p>
    <w:p w:rsidR="007B25AE" w:rsidRPr="007B25AE" w:rsidRDefault="000072D6" w:rsidP="007B25AE">
      <w:pPr>
        <w:numPr>
          <w:ilvl w:val="1"/>
          <w:numId w:val="15"/>
        </w:numPr>
        <w:tabs>
          <w:tab w:val="clear" w:pos="720"/>
          <w:tab w:val="num" w:pos="567"/>
        </w:tabs>
        <w:spacing w:after="0" w:line="240" w:lineRule="auto"/>
        <w:ind w:left="567" w:hanging="283"/>
        <w:jc w:val="both"/>
        <w:rPr>
          <w:rFonts w:asciiTheme="minorHAnsi" w:hAnsiTheme="minorHAnsi"/>
          <w:sz w:val="20"/>
          <w:szCs w:val="20"/>
        </w:rPr>
      </w:pPr>
      <w:r w:rsidRPr="000072D6">
        <w:rPr>
          <w:rFonts w:asciiTheme="minorHAnsi" w:hAnsiTheme="minorHAnsi"/>
          <w:sz w:val="20"/>
          <w:szCs w:val="20"/>
        </w:rPr>
        <w:t>použití dotace v rozporu s účelem, který je stanoven touto smlouvou nebo dotačním programem – odvod ve výši 100 % z dotace,</w:t>
      </w:r>
    </w:p>
    <w:p w:rsidR="007B25AE" w:rsidRPr="007B25AE" w:rsidRDefault="000072D6" w:rsidP="007B25AE">
      <w:pPr>
        <w:numPr>
          <w:ilvl w:val="1"/>
          <w:numId w:val="15"/>
        </w:numPr>
        <w:tabs>
          <w:tab w:val="clear" w:pos="720"/>
          <w:tab w:val="num" w:pos="567"/>
        </w:tabs>
        <w:spacing w:after="0" w:line="240" w:lineRule="auto"/>
        <w:ind w:left="567" w:hanging="283"/>
        <w:jc w:val="both"/>
        <w:rPr>
          <w:rFonts w:asciiTheme="minorHAnsi" w:hAnsiTheme="minorHAnsi"/>
          <w:sz w:val="20"/>
          <w:szCs w:val="20"/>
        </w:rPr>
      </w:pPr>
      <w:r w:rsidRPr="000072D6">
        <w:rPr>
          <w:rFonts w:asciiTheme="minorHAnsi" w:hAnsiTheme="minorHAnsi"/>
          <w:sz w:val="20"/>
          <w:szCs w:val="20"/>
        </w:rPr>
        <w:t>neumožnění provedení kontroly podle článku V. této smlouvy – odvod ve výši 100 % z dotace,</w:t>
      </w:r>
    </w:p>
    <w:p w:rsidR="000072D6" w:rsidRPr="000072D6" w:rsidRDefault="000072D6" w:rsidP="000072D6">
      <w:pPr>
        <w:numPr>
          <w:ilvl w:val="1"/>
          <w:numId w:val="15"/>
        </w:numPr>
        <w:spacing w:after="0" w:line="240" w:lineRule="auto"/>
        <w:ind w:left="568" w:hanging="284"/>
        <w:jc w:val="both"/>
        <w:rPr>
          <w:rFonts w:asciiTheme="minorHAnsi" w:hAnsiTheme="minorHAnsi"/>
          <w:sz w:val="20"/>
          <w:szCs w:val="20"/>
        </w:rPr>
      </w:pPr>
      <w:r w:rsidRPr="000072D6">
        <w:rPr>
          <w:rFonts w:asciiTheme="minorHAnsi" w:hAnsiTheme="minorHAnsi"/>
          <w:sz w:val="20"/>
          <w:szCs w:val="20"/>
        </w:rPr>
        <w:t xml:space="preserve">nepředání závěrečného nebo dílčího vyúčtování v termínu (viz článek III. </w:t>
      </w:r>
      <w:r w:rsidR="00BB71B3">
        <w:rPr>
          <w:rFonts w:asciiTheme="minorHAnsi" w:hAnsiTheme="minorHAnsi"/>
          <w:sz w:val="20"/>
          <w:szCs w:val="20"/>
        </w:rPr>
        <w:t>odst.</w:t>
      </w:r>
      <w:r w:rsidRPr="000072D6">
        <w:rPr>
          <w:rFonts w:asciiTheme="minorHAnsi" w:hAnsiTheme="minorHAnsi"/>
          <w:sz w:val="20"/>
          <w:szCs w:val="20"/>
        </w:rPr>
        <w:t xml:space="preserve"> </w:t>
      </w:r>
      <w:r w:rsidR="004C464E" w:rsidRPr="004C464E">
        <w:rPr>
          <w:rFonts w:asciiTheme="minorHAnsi" w:hAnsiTheme="minorHAnsi"/>
          <w:sz w:val="20"/>
          <w:szCs w:val="20"/>
        </w:rPr>
        <w:t>1</w:t>
      </w:r>
      <w:r w:rsidRPr="000072D6">
        <w:rPr>
          <w:rFonts w:asciiTheme="minorHAnsi" w:hAnsiTheme="minorHAnsi"/>
          <w:sz w:val="20"/>
          <w:szCs w:val="20"/>
        </w:rPr>
        <w:t>1</w:t>
      </w:r>
      <w:r w:rsidR="004C464E" w:rsidRPr="004C464E">
        <w:rPr>
          <w:rFonts w:asciiTheme="minorHAnsi" w:hAnsiTheme="minorHAnsi"/>
          <w:sz w:val="20"/>
          <w:szCs w:val="20"/>
        </w:rPr>
        <w:t>. této smlouvy) -</w:t>
      </w:r>
      <w:r w:rsidR="004C464E">
        <w:rPr>
          <w:rFonts w:asciiTheme="minorHAnsi" w:hAnsiTheme="minorHAnsi"/>
          <w:sz w:val="20"/>
          <w:szCs w:val="20"/>
        </w:rPr>
        <w:t xml:space="preserve"> </w:t>
      </w:r>
      <w:r w:rsidRPr="000072D6">
        <w:rPr>
          <w:rFonts w:asciiTheme="minorHAnsi" w:hAnsiTheme="minorHAnsi"/>
          <w:sz w:val="20"/>
          <w:szCs w:val="20"/>
        </w:rPr>
        <w:t>odvod ve výši 100 % dotace při překročení termínu o 5 a více pracovních dnů.</w:t>
      </w:r>
    </w:p>
    <w:p w:rsidR="000072D6" w:rsidRPr="000072D6" w:rsidRDefault="000072D6" w:rsidP="000072D6">
      <w:pPr>
        <w:spacing w:after="0"/>
        <w:ind w:left="567"/>
        <w:jc w:val="both"/>
        <w:rPr>
          <w:rFonts w:asciiTheme="minorHAnsi" w:hAnsiTheme="minorHAnsi"/>
          <w:sz w:val="20"/>
          <w:szCs w:val="20"/>
        </w:rPr>
      </w:pPr>
      <w:r w:rsidRPr="000072D6">
        <w:rPr>
          <w:rFonts w:asciiTheme="minorHAnsi" w:hAnsiTheme="minorHAnsi"/>
          <w:sz w:val="20"/>
          <w:szCs w:val="20"/>
        </w:rPr>
        <w:t xml:space="preserve">O změně termínu doložení těchto dokumentů rozhoduje poskytovatel na žádost příjemce. Tuto žádost je nutné podat poskytovateli před uplynutím termínu, a to v listinné podobě poskytovateli poštovních služeb nebo na podatelnu poskytovatele. Za den podání žádosti o změnu termínu se považuje den, kdy byla žádost předána poskytovateli poštovních služeb nebo na podatelnu poskytovatele. </w:t>
      </w:r>
    </w:p>
    <w:p w:rsidR="007B25AE" w:rsidRPr="007B25AE" w:rsidRDefault="000072D6" w:rsidP="007B25AE">
      <w:pPr>
        <w:numPr>
          <w:ilvl w:val="1"/>
          <w:numId w:val="15"/>
        </w:numPr>
        <w:tabs>
          <w:tab w:val="clear" w:pos="720"/>
          <w:tab w:val="num" w:pos="567"/>
        </w:tabs>
        <w:spacing w:after="0" w:line="240" w:lineRule="auto"/>
        <w:ind w:left="567" w:hanging="283"/>
        <w:jc w:val="both"/>
        <w:rPr>
          <w:rFonts w:asciiTheme="minorHAnsi" w:hAnsiTheme="minorHAnsi"/>
          <w:sz w:val="20"/>
          <w:szCs w:val="20"/>
        </w:rPr>
      </w:pPr>
      <w:r w:rsidRPr="000072D6">
        <w:rPr>
          <w:rFonts w:asciiTheme="minorHAnsi" w:hAnsiTheme="minorHAnsi"/>
          <w:sz w:val="20"/>
          <w:szCs w:val="20"/>
        </w:rPr>
        <w:t xml:space="preserve">realizace akce v rozporu s právními předpisy, např. příjemce jako zadavatel podle </w:t>
      </w:r>
      <w:proofErr w:type="spellStart"/>
      <w:r w:rsidRPr="000072D6">
        <w:rPr>
          <w:rFonts w:asciiTheme="minorHAnsi" w:hAnsiTheme="minorHAnsi"/>
          <w:sz w:val="20"/>
          <w:szCs w:val="20"/>
        </w:rPr>
        <w:t>ZoVZ</w:t>
      </w:r>
      <w:proofErr w:type="spellEnd"/>
      <w:r w:rsidRPr="000072D6">
        <w:rPr>
          <w:rFonts w:asciiTheme="minorHAnsi" w:hAnsiTheme="minorHAnsi"/>
          <w:sz w:val="20"/>
          <w:szCs w:val="20"/>
        </w:rPr>
        <w:t xml:space="preserve"> nerealizuje veřejné zakázky v souladu s tímto zákonem – odvod ve výši 100 % z dotace,</w:t>
      </w:r>
    </w:p>
    <w:p w:rsidR="007B25AE" w:rsidRPr="007B25AE" w:rsidRDefault="000072D6" w:rsidP="007B25AE">
      <w:pPr>
        <w:numPr>
          <w:ilvl w:val="1"/>
          <w:numId w:val="15"/>
        </w:numPr>
        <w:tabs>
          <w:tab w:val="clear" w:pos="720"/>
          <w:tab w:val="num" w:pos="567"/>
        </w:tabs>
        <w:spacing w:after="0" w:line="240" w:lineRule="auto"/>
        <w:ind w:left="567" w:hanging="283"/>
        <w:jc w:val="both"/>
        <w:rPr>
          <w:rFonts w:asciiTheme="minorHAnsi" w:hAnsiTheme="minorHAnsi"/>
          <w:sz w:val="20"/>
          <w:szCs w:val="20"/>
        </w:rPr>
      </w:pPr>
      <w:r w:rsidRPr="000072D6">
        <w:rPr>
          <w:rFonts w:asciiTheme="minorHAnsi" w:hAnsiTheme="minorHAnsi"/>
          <w:sz w:val="20"/>
          <w:szCs w:val="20"/>
        </w:rPr>
        <w:t>uvedení nesprávných údajů v žádosti o dotaci či v této smlouvě – odvod ve výši 50 % z dotace,</w:t>
      </w:r>
    </w:p>
    <w:p w:rsidR="007B25AE" w:rsidRPr="007B25AE" w:rsidRDefault="00922D9F" w:rsidP="007B25AE">
      <w:pPr>
        <w:numPr>
          <w:ilvl w:val="1"/>
          <w:numId w:val="15"/>
        </w:numPr>
        <w:tabs>
          <w:tab w:val="clear" w:pos="720"/>
          <w:tab w:val="num" w:pos="567"/>
        </w:tabs>
        <w:spacing w:after="0" w:line="240" w:lineRule="auto"/>
        <w:ind w:left="567" w:hanging="283"/>
        <w:jc w:val="both"/>
        <w:rPr>
          <w:rFonts w:asciiTheme="minorHAnsi" w:hAnsiTheme="minorHAnsi"/>
          <w:sz w:val="20"/>
          <w:szCs w:val="20"/>
        </w:rPr>
      </w:pPr>
      <w:r>
        <w:rPr>
          <w:rFonts w:asciiTheme="minorHAnsi" w:hAnsiTheme="minorHAnsi"/>
          <w:sz w:val="20"/>
          <w:szCs w:val="20"/>
        </w:rPr>
        <w:t>porušení článku</w:t>
      </w:r>
      <w:r w:rsidR="000072D6" w:rsidRPr="000072D6">
        <w:rPr>
          <w:rFonts w:asciiTheme="minorHAnsi" w:hAnsiTheme="minorHAnsi"/>
          <w:sz w:val="20"/>
          <w:szCs w:val="20"/>
        </w:rPr>
        <w:t xml:space="preserve"> III. od</w:t>
      </w:r>
      <w:r w:rsidR="00BB71B3">
        <w:rPr>
          <w:rFonts w:asciiTheme="minorHAnsi" w:hAnsiTheme="minorHAnsi"/>
          <w:sz w:val="20"/>
          <w:szCs w:val="20"/>
        </w:rPr>
        <w:t>st.</w:t>
      </w:r>
      <w:r w:rsidR="000072D6" w:rsidRPr="000072D6">
        <w:rPr>
          <w:rFonts w:asciiTheme="minorHAnsi" w:hAnsiTheme="minorHAnsi"/>
          <w:sz w:val="20"/>
          <w:szCs w:val="20"/>
        </w:rPr>
        <w:t xml:space="preserve"> 3. a </w:t>
      </w:r>
      <w:r w:rsidR="00BB71B3">
        <w:rPr>
          <w:rFonts w:asciiTheme="minorHAnsi" w:hAnsiTheme="minorHAnsi"/>
          <w:sz w:val="20"/>
          <w:szCs w:val="20"/>
        </w:rPr>
        <w:t>odst.</w:t>
      </w:r>
      <w:r w:rsidR="000072D6" w:rsidRPr="000072D6">
        <w:rPr>
          <w:rFonts w:asciiTheme="minorHAnsi" w:hAnsiTheme="minorHAnsi"/>
          <w:sz w:val="20"/>
          <w:szCs w:val="20"/>
        </w:rPr>
        <w:t xml:space="preserve"> 8. této smlouvy – odvod ve výši 20 % z dotace,</w:t>
      </w:r>
    </w:p>
    <w:p w:rsidR="007B25AE" w:rsidRPr="007B25AE" w:rsidRDefault="00922D9F" w:rsidP="007B25AE">
      <w:pPr>
        <w:numPr>
          <w:ilvl w:val="1"/>
          <w:numId w:val="15"/>
        </w:numPr>
        <w:tabs>
          <w:tab w:val="clear" w:pos="720"/>
          <w:tab w:val="num" w:pos="567"/>
        </w:tabs>
        <w:spacing w:after="0" w:line="240" w:lineRule="auto"/>
        <w:ind w:left="567" w:hanging="283"/>
        <w:jc w:val="both"/>
        <w:rPr>
          <w:rFonts w:asciiTheme="minorHAnsi" w:hAnsiTheme="minorHAnsi"/>
          <w:sz w:val="20"/>
          <w:szCs w:val="20"/>
        </w:rPr>
      </w:pPr>
      <w:r>
        <w:rPr>
          <w:rFonts w:asciiTheme="minorHAnsi" w:hAnsiTheme="minorHAnsi"/>
          <w:sz w:val="20"/>
          <w:szCs w:val="20"/>
        </w:rPr>
        <w:t>porušení článku</w:t>
      </w:r>
      <w:r w:rsidR="000072D6" w:rsidRPr="000072D6">
        <w:rPr>
          <w:rFonts w:asciiTheme="minorHAnsi" w:hAnsiTheme="minorHAnsi"/>
          <w:sz w:val="20"/>
          <w:szCs w:val="20"/>
        </w:rPr>
        <w:t xml:space="preserve"> IV. </w:t>
      </w:r>
      <w:r w:rsidR="00BB71B3">
        <w:rPr>
          <w:rFonts w:asciiTheme="minorHAnsi" w:hAnsiTheme="minorHAnsi"/>
          <w:sz w:val="20"/>
          <w:szCs w:val="20"/>
        </w:rPr>
        <w:t>odst.</w:t>
      </w:r>
      <w:r w:rsidR="000072D6" w:rsidRPr="000072D6">
        <w:rPr>
          <w:rFonts w:asciiTheme="minorHAnsi" w:hAnsiTheme="minorHAnsi"/>
          <w:sz w:val="20"/>
          <w:szCs w:val="20"/>
        </w:rPr>
        <w:t xml:space="preserve"> 1. </w:t>
      </w:r>
      <w:r w:rsidR="004E6017">
        <w:rPr>
          <w:rFonts w:asciiTheme="minorHAnsi" w:hAnsiTheme="minorHAnsi"/>
          <w:sz w:val="20"/>
          <w:szCs w:val="20"/>
        </w:rPr>
        <w:t xml:space="preserve">této smlouvy </w:t>
      </w:r>
      <w:r w:rsidR="000072D6" w:rsidRPr="000072D6">
        <w:rPr>
          <w:rFonts w:asciiTheme="minorHAnsi" w:hAnsiTheme="minorHAnsi"/>
          <w:sz w:val="20"/>
          <w:szCs w:val="20"/>
        </w:rPr>
        <w:t xml:space="preserve">(kromě zániku příjemce) – odvod ve výši 30 % z dotace, </w:t>
      </w:r>
    </w:p>
    <w:p w:rsidR="007B25AE" w:rsidRPr="007B25AE" w:rsidRDefault="00922D9F" w:rsidP="007B25AE">
      <w:pPr>
        <w:numPr>
          <w:ilvl w:val="1"/>
          <w:numId w:val="15"/>
        </w:numPr>
        <w:tabs>
          <w:tab w:val="clear" w:pos="720"/>
          <w:tab w:val="num" w:pos="567"/>
        </w:tabs>
        <w:spacing w:after="0" w:line="240" w:lineRule="auto"/>
        <w:ind w:left="567" w:hanging="283"/>
        <w:jc w:val="both"/>
        <w:rPr>
          <w:rFonts w:asciiTheme="minorHAnsi" w:hAnsiTheme="minorHAnsi"/>
          <w:sz w:val="20"/>
          <w:szCs w:val="20"/>
        </w:rPr>
      </w:pPr>
      <w:r>
        <w:rPr>
          <w:rFonts w:asciiTheme="minorHAnsi" w:hAnsiTheme="minorHAnsi"/>
          <w:sz w:val="20"/>
          <w:szCs w:val="20"/>
        </w:rPr>
        <w:t>porušení článku</w:t>
      </w:r>
      <w:r w:rsidR="000072D6" w:rsidRPr="000072D6">
        <w:rPr>
          <w:rFonts w:asciiTheme="minorHAnsi" w:hAnsiTheme="minorHAnsi"/>
          <w:sz w:val="20"/>
          <w:szCs w:val="20"/>
        </w:rPr>
        <w:t xml:space="preserve"> IV</w:t>
      </w:r>
      <w:r>
        <w:rPr>
          <w:rFonts w:asciiTheme="minorHAnsi" w:hAnsiTheme="minorHAnsi"/>
          <w:sz w:val="20"/>
          <w:szCs w:val="20"/>
        </w:rPr>
        <w:t>.</w:t>
      </w:r>
      <w:r w:rsidR="000072D6" w:rsidRPr="000072D6">
        <w:rPr>
          <w:rFonts w:asciiTheme="minorHAnsi" w:hAnsiTheme="minorHAnsi"/>
          <w:sz w:val="20"/>
          <w:szCs w:val="20"/>
        </w:rPr>
        <w:t xml:space="preserve"> </w:t>
      </w:r>
      <w:r w:rsidR="00BB71B3">
        <w:rPr>
          <w:rFonts w:asciiTheme="minorHAnsi" w:hAnsiTheme="minorHAnsi"/>
          <w:sz w:val="20"/>
          <w:szCs w:val="20"/>
        </w:rPr>
        <w:t>odst.</w:t>
      </w:r>
      <w:r w:rsidR="000072D6" w:rsidRPr="000072D6">
        <w:rPr>
          <w:rFonts w:asciiTheme="minorHAnsi" w:hAnsiTheme="minorHAnsi"/>
          <w:sz w:val="20"/>
          <w:szCs w:val="20"/>
        </w:rPr>
        <w:t xml:space="preserve"> 3. této smlouvy – odvod ve výši 100 % dotace,</w:t>
      </w:r>
    </w:p>
    <w:p w:rsidR="007B25AE" w:rsidRPr="007B25AE" w:rsidRDefault="000072D6" w:rsidP="007B25AE">
      <w:pPr>
        <w:numPr>
          <w:ilvl w:val="1"/>
          <w:numId w:val="15"/>
        </w:numPr>
        <w:tabs>
          <w:tab w:val="clear" w:pos="720"/>
          <w:tab w:val="num" w:pos="567"/>
        </w:tabs>
        <w:spacing w:after="120" w:line="240" w:lineRule="auto"/>
        <w:ind w:left="568" w:hanging="284"/>
        <w:jc w:val="both"/>
        <w:rPr>
          <w:rFonts w:asciiTheme="minorHAnsi" w:hAnsiTheme="minorHAnsi"/>
        </w:rPr>
      </w:pPr>
      <w:r w:rsidRPr="000072D6">
        <w:rPr>
          <w:rFonts w:asciiTheme="minorHAnsi" w:hAnsiTheme="minorHAnsi"/>
          <w:sz w:val="20"/>
          <w:szCs w:val="20"/>
        </w:rPr>
        <w:t>porušení dalších povinností uvedených v této smlouvě, souvisejících dokumentech či právních předpisech - odvod ve výši 50 % z dotace.</w:t>
      </w:r>
    </w:p>
    <w:p w:rsidR="000B0821" w:rsidRPr="00491C91" w:rsidRDefault="000B0821" w:rsidP="000B0821">
      <w:pPr>
        <w:numPr>
          <w:ilvl w:val="0"/>
          <w:numId w:val="15"/>
        </w:numPr>
        <w:spacing w:after="120" w:line="240" w:lineRule="auto"/>
        <w:ind w:left="357" w:hanging="357"/>
        <w:jc w:val="both"/>
        <w:rPr>
          <w:rFonts w:ascii="Calibri" w:hAnsi="Calibri"/>
          <w:sz w:val="20"/>
          <w:szCs w:val="20"/>
        </w:rPr>
      </w:pPr>
      <w:r w:rsidRPr="00491C91">
        <w:rPr>
          <w:rFonts w:ascii="Calibri" w:hAnsi="Calibri"/>
          <w:sz w:val="20"/>
          <w:szCs w:val="20"/>
        </w:rPr>
        <w:t>Dotace či její části se považují za vrácené dnem, kdy byly připsány na účet poskytovatele.</w:t>
      </w:r>
    </w:p>
    <w:p w:rsidR="000B0821" w:rsidRPr="00491C91" w:rsidRDefault="000B0821" w:rsidP="000B0821">
      <w:pPr>
        <w:numPr>
          <w:ilvl w:val="0"/>
          <w:numId w:val="15"/>
        </w:numPr>
        <w:spacing w:after="120" w:line="240" w:lineRule="auto"/>
        <w:ind w:left="357" w:hanging="357"/>
        <w:jc w:val="both"/>
        <w:rPr>
          <w:rFonts w:ascii="Calibri" w:hAnsi="Calibri"/>
          <w:sz w:val="20"/>
          <w:szCs w:val="20"/>
        </w:rPr>
      </w:pPr>
      <w:r w:rsidRPr="00491C91">
        <w:rPr>
          <w:rFonts w:ascii="Calibri" w:hAnsi="Calibri"/>
          <w:sz w:val="20"/>
          <w:szCs w:val="20"/>
        </w:rPr>
        <w:t>Veškeré platby, jako důsledky porušení závazků, provede příjemce formou bezhotovostního převodu na účet poskytovatele, v termínu a na číslo účtu, které budou příjemci sděleny poskytovatelem.</w:t>
      </w:r>
    </w:p>
    <w:p w:rsidR="000B0821" w:rsidRPr="00491C91" w:rsidRDefault="000B0821" w:rsidP="000B0821">
      <w:pPr>
        <w:pStyle w:val="Odstavecseseznamem"/>
        <w:spacing w:before="120" w:after="0" w:line="240" w:lineRule="auto"/>
        <w:ind w:left="0"/>
        <w:contextualSpacing w:val="0"/>
        <w:rPr>
          <w:rFonts w:asciiTheme="minorHAnsi" w:hAnsiTheme="minorHAnsi"/>
          <w:b/>
          <w:sz w:val="20"/>
          <w:szCs w:val="20"/>
        </w:rPr>
      </w:pPr>
    </w:p>
    <w:p w:rsidR="000B0821" w:rsidRPr="00491C91" w:rsidRDefault="000B0821" w:rsidP="00396BA4">
      <w:pPr>
        <w:keepNext/>
        <w:spacing w:after="0"/>
        <w:jc w:val="center"/>
        <w:rPr>
          <w:rFonts w:ascii="Calibri" w:hAnsi="Calibri"/>
          <w:b/>
          <w:sz w:val="20"/>
          <w:szCs w:val="20"/>
        </w:rPr>
      </w:pPr>
      <w:r w:rsidRPr="00491C91">
        <w:rPr>
          <w:rFonts w:ascii="Calibri" w:hAnsi="Calibri"/>
          <w:b/>
          <w:sz w:val="20"/>
          <w:szCs w:val="20"/>
        </w:rPr>
        <w:t>VII.</w:t>
      </w:r>
    </w:p>
    <w:p w:rsidR="00C00FC5" w:rsidRPr="00C00FC5" w:rsidRDefault="000072D6" w:rsidP="00C00FC5">
      <w:pPr>
        <w:keepNext/>
        <w:spacing w:after="120"/>
        <w:jc w:val="center"/>
        <w:rPr>
          <w:rFonts w:ascii="Calibri" w:hAnsi="Calibri"/>
          <w:b/>
          <w:sz w:val="20"/>
          <w:szCs w:val="20"/>
        </w:rPr>
      </w:pPr>
      <w:r w:rsidRPr="000072D6">
        <w:rPr>
          <w:rFonts w:ascii="Calibri" w:hAnsi="Calibri"/>
          <w:b/>
          <w:sz w:val="20"/>
          <w:szCs w:val="20"/>
        </w:rPr>
        <w:t>Ukončení smlouvy, výpověď smlouvy a sankce</w:t>
      </w:r>
    </w:p>
    <w:p w:rsidR="00C00FC5" w:rsidRPr="00C00FC5" w:rsidRDefault="000072D6" w:rsidP="00C00FC5">
      <w:pPr>
        <w:numPr>
          <w:ilvl w:val="0"/>
          <w:numId w:val="16"/>
        </w:numPr>
        <w:spacing w:after="120" w:line="240" w:lineRule="auto"/>
        <w:ind w:hanging="357"/>
        <w:jc w:val="both"/>
        <w:rPr>
          <w:rFonts w:ascii="Calibri" w:hAnsi="Calibri"/>
          <w:sz w:val="20"/>
          <w:szCs w:val="20"/>
        </w:rPr>
      </w:pPr>
      <w:r w:rsidRPr="000072D6">
        <w:rPr>
          <w:rFonts w:ascii="Calibri" w:hAnsi="Calibri"/>
          <w:sz w:val="20"/>
          <w:szCs w:val="20"/>
        </w:rPr>
        <w:t>Závazkový vztah založený touto smlouvou lze ukončit na základě dohody smluvních stran nebo výpovědí.</w:t>
      </w:r>
    </w:p>
    <w:p w:rsidR="00C00FC5" w:rsidRPr="00C00FC5" w:rsidRDefault="000072D6" w:rsidP="00C00FC5">
      <w:pPr>
        <w:numPr>
          <w:ilvl w:val="0"/>
          <w:numId w:val="16"/>
        </w:numPr>
        <w:spacing w:after="120" w:line="240" w:lineRule="auto"/>
        <w:ind w:hanging="357"/>
        <w:jc w:val="both"/>
        <w:rPr>
          <w:rFonts w:ascii="Calibri" w:hAnsi="Calibri"/>
          <w:sz w:val="20"/>
          <w:szCs w:val="20"/>
        </w:rPr>
      </w:pPr>
      <w:r w:rsidRPr="000072D6">
        <w:rPr>
          <w:rFonts w:ascii="Calibri" w:hAnsi="Calibri"/>
          <w:sz w:val="20"/>
          <w:szCs w:val="20"/>
        </w:rPr>
        <w:t xml:space="preserve">V případě, že příjemce nebude projekt realizovat, je kterákoli ze smluvních stran oprávněna smlouvu vypovědět. </w:t>
      </w:r>
    </w:p>
    <w:p w:rsidR="00C00FC5" w:rsidRPr="00C00FC5" w:rsidRDefault="000072D6" w:rsidP="00C00FC5">
      <w:pPr>
        <w:numPr>
          <w:ilvl w:val="0"/>
          <w:numId w:val="16"/>
        </w:numPr>
        <w:spacing w:after="120" w:line="240" w:lineRule="auto"/>
        <w:ind w:hanging="357"/>
        <w:jc w:val="both"/>
        <w:rPr>
          <w:rFonts w:ascii="Calibri" w:hAnsi="Calibri"/>
          <w:sz w:val="20"/>
          <w:szCs w:val="20"/>
        </w:rPr>
      </w:pPr>
      <w:r w:rsidRPr="000072D6">
        <w:rPr>
          <w:rFonts w:ascii="Calibri" w:hAnsi="Calibri"/>
          <w:sz w:val="20"/>
          <w:szCs w:val="20"/>
        </w:rPr>
        <w:t>Výpovědní lhůta činí 15 dní ode dne doručení výpovědi druhé smluvní straně.</w:t>
      </w:r>
    </w:p>
    <w:p w:rsidR="00C00FC5" w:rsidRPr="00C00FC5" w:rsidRDefault="000072D6" w:rsidP="00C00FC5">
      <w:pPr>
        <w:numPr>
          <w:ilvl w:val="0"/>
          <w:numId w:val="16"/>
        </w:numPr>
        <w:spacing w:after="120" w:line="240" w:lineRule="auto"/>
        <w:ind w:hanging="357"/>
        <w:jc w:val="both"/>
        <w:rPr>
          <w:rFonts w:ascii="Calibri" w:hAnsi="Calibri"/>
          <w:sz w:val="20"/>
          <w:szCs w:val="20"/>
        </w:rPr>
      </w:pPr>
      <w:r w:rsidRPr="000072D6">
        <w:rPr>
          <w:rFonts w:ascii="Calibri" w:hAnsi="Calibri"/>
          <w:sz w:val="20"/>
          <w:szCs w:val="20"/>
        </w:rPr>
        <w:t>Smluvní strany se dohodly, že v případě výpovědi smlouvy kteroukoli ze smluvních stran, vrátí příjemce poskytovateli celkovou výši dotace do 15 dnů od uplynutí výpovědní doby. Tímto není dotčeno ustanovení čl. VI.</w:t>
      </w:r>
      <w:r w:rsidR="00C00FC5">
        <w:rPr>
          <w:rFonts w:ascii="Calibri" w:hAnsi="Calibri"/>
          <w:sz w:val="20"/>
          <w:szCs w:val="20"/>
        </w:rPr>
        <w:t xml:space="preserve"> </w:t>
      </w:r>
      <w:r w:rsidRPr="000072D6">
        <w:rPr>
          <w:rFonts w:ascii="Calibri" w:hAnsi="Calibri"/>
          <w:sz w:val="20"/>
          <w:szCs w:val="20"/>
        </w:rPr>
        <w:t>a předchozích odstavců článku VII. Nevrátí-li příjemce dotaci v tomto termínu, považují se tyto finanční prostředky za zadržené ve smyslu § 22 zákona č. 250/2000 Sb., a poskytovatel bude postupovat v souladu s tímto ustanovením.</w:t>
      </w:r>
    </w:p>
    <w:p w:rsidR="00C00FC5" w:rsidRPr="00C00FC5" w:rsidRDefault="000072D6" w:rsidP="00C00FC5">
      <w:pPr>
        <w:numPr>
          <w:ilvl w:val="0"/>
          <w:numId w:val="16"/>
        </w:numPr>
        <w:spacing w:after="120" w:line="240" w:lineRule="auto"/>
        <w:ind w:hanging="357"/>
        <w:jc w:val="both"/>
        <w:rPr>
          <w:rFonts w:ascii="Calibri" w:hAnsi="Calibri"/>
          <w:sz w:val="20"/>
          <w:szCs w:val="20"/>
        </w:rPr>
      </w:pPr>
      <w:r w:rsidRPr="000072D6">
        <w:rPr>
          <w:rFonts w:ascii="Calibri" w:hAnsi="Calibri"/>
          <w:sz w:val="20"/>
          <w:szCs w:val="20"/>
        </w:rPr>
        <w:t>Dnem výpovědi smlouvy zanikají práva a povinnosti smluvních stran, vyjma smluvních ustanovení týkajících se řešení sporů mezi smluvními stranami, sankčních ustanovení a jiných ustanovení, která podle projevené vůle smluvních stran nebo vzhledem ke své povaze mají trvat i po ukončení smlouvy.</w:t>
      </w:r>
    </w:p>
    <w:p w:rsidR="00C00FC5" w:rsidRPr="00C00FC5" w:rsidRDefault="000072D6" w:rsidP="00C00FC5">
      <w:pPr>
        <w:numPr>
          <w:ilvl w:val="0"/>
          <w:numId w:val="16"/>
        </w:numPr>
        <w:spacing w:after="120" w:line="240" w:lineRule="auto"/>
        <w:ind w:hanging="357"/>
        <w:jc w:val="both"/>
        <w:rPr>
          <w:rFonts w:ascii="Calibri" w:hAnsi="Calibri"/>
          <w:sz w:val="20"/>
          <w:szCs w:val="20"/>
        </w:rPr>
      </w:pPr>
      <w:r w:rsidRPr="000072D6">
        <w:rPr>
          <w:rFonts w:ascii="Calibri" w:hAnsi="Calibri"/>
          <w:sz w:val="20"/>
          <w:szCs w:val="20"/>
        </w:rPr>
        <w:t>Výpověď smlouvy se nedotýká nároku na náhradu škody, vzniklé porušením smlouvy.</w:t>
      </w:r>
    </w:p>
    <w:p w:rsidR="000B0821" w:rsidRPr="00491C91" w:rsidRDefault="000072D6" w:rsidP="000B0821">
      <w:pPr>
        <w:numPr>
          <w:ilvl w:val="0"/>
          <w:numId w:val="16"/>
        </w:numPr>
        <w:spacing w:after="120" w:line="240" w:lineRule="auto"/>
        <w:ind w:hanging="357"/>
        <w:jc w:val="both"/>
        <w:rPr>
          <w:rFonts w:ascii="Calibri" w:hAnsi="Calibri"/>
          <w:sz w:val="20"/>
          <w:szCs w:val="20"/>
        </w:rPr>
      </w:pPr>
      <w:r w:rsidRPr="000072D6">
        <w:rPr>
          <w:rFonts w:ascii="Calibri" w:hAnsi="Calibri"/>
          <w:sz w:val="20"/>
          <w:szCs w:val="20"/>
        </w:rPr>
        <w:t>Výpověď smlouvy musí být učiněna písemnou formou a musí v ní být uveden důvod výpovědi. Výpověď smlouvy je platná od jejího doručení druhé smluvní straně a účinná 16 dnem po doručení. V případě pochybností se má za to, že je doručena 10. den od jejího odeslání.</w:t>
      </w:r>
      <w:r w:rsidR="004C464E" w:rsidRPr="004C464E">
        <w:rPr>
          <w:rFonts w:ascii="Calibri" w:hAnsi="Calibri"/>
        </w:rPr>
        <w:t xml:space="preserve"> </w:t>
      </w:r>
    </w:p>
    <w:p w:rsidR="000B0821" w:rsidRDefault="000B0821" w:rsidP="000B0821">
      <w:pPr>
        <w:pStyle w:val="Odstavecseseznamem"/>
        <w:spacing w:before="120" w:after="0" w:line="240" w:lineRule="auto"/>
        <w:ind w:left="0"/>
        <w:contextualSpacing w:val="0"/>
        <w:jc w:val="center"/>
        <w:rPr>
          <w:rFonts w:asciiTheme="minorHAnsi" w:hAnsiTheme="minorHAnsi"/>
          <w:b/>
          <w:sz w:val="20"/>
          <w:szCs w:val="20"/>
        </w:rPr>
      </w:pPr>
    </w:p>
    <w:p w:rsidR="000B0821" w:rsidRPr="00491C91" w:rsidRDefault="000B0821" w:rsidP="00396BA4">
      <w:pPr>
        <w:pStyle w:val="Odstavecseseznamem"/>
        <w:spacing w:after="0" w:line="240" w:lineRule="auto"/>
        <w:ind w:left="0"/>
        <w:contextualSpacing w:val="0"/>
        <w:jc w:val="center"/>
        <w:rPr>
          <w:rFonts w:asciiTheme="minorHAnsi" w:hAnsiTheme="minorHAnsi"/>
          <w:b/>
          <w:sz w:val="20"/>
          <w:szCs w:val="20"/>
        </w:rPr>
      </w:pPr>
      <w:r w:rsidRPr="00491C91">
        <w:rPr>
          <w:rFonts w:asciiTheme="minorHAnsi" w:hAnsiTheme="minorHAnsi"/>
          <w:b/>
          <w:sz w:val="20"/>
          <w:szCs w:val="20"/>
        </w:rPr>
        <w:t xml:space="preserve"> VIII.</w:t>
      </w:r>
    </w:p>
    <w:p w:rsidR="000B0821" w:rsidRPr="00491C91" w:rsidRDefault="000B0821" w:rsidP="00396BA4">
      <w:pPr>
        <w:pStyle w:val="Odstavecseseznamem"/>
        <w:spacing w:after="0" w:line="240" w:lineRule="auto"/>
        <w:ind w:left="0"/>
        <w:contextualSpacing w:val="0"/>
        <w:jc w:val="center"/>
        <w:rPr>
          <w:rFonts w:asciiTheme="minorHAnsi" w:hAnsiTheme="minorHAnsi"/>
          <w:b/>
          <w:sz w:val="20"/>
          <w:szCs w:val="20"/>
        </w:rPr>
      </w:pPr>
      <w:r w:rsidRPr="00491C91">
        <w:rPr>
          <w:rFonts w:asciiTheme="minorHAnsi" w:hAnsiTheme="minorHAnsi"/>
          <w:b/>
          <w:sz w:val="20"/>
          <w:szCs w:val="20"/>
        </w:rPr>
        <w:t>Závěrečná ustanovení</w:t>
      </w:r>
    </w:p>
    <w:p w:rsidR="000B0821" w:rsidRPr="00491C91" w:rsidRDefault="000B0821" w:rsidP="00396BA4">
      <w:pPr>
        <w:pStyle w:val="Odstavecseseznamem"/>
        <w:spacing w:after="0" w:line="240" w:lineRule="auto"/>
        <w:ind w:left="0"/>
        <w:contextualSpacing w:val="0"/>
        <w:jc w:val="center"/>
        <w:rPr>
          <w:rFonts w:asciiTheme="minorHAnsi" w:hAnsiTheme="minorHAnsi"/>
          <w:b/>
          <w:sz w:val="20"/>
          <w:szCs w:val="20"/>
        </w:rPr>
      </w:pPr>
    </w:p>
    <w:p w:rsidR="000B0821" w:rsidRPr="00491C91" w:rsidRDefault="000B0821" w:rsidP="000B0821">
      <w:pPr>
        <w:numPr>
          <w:ilvl w:val="0"/>
          <w:numId w:val="17"/>
        </w:numPr>
        <w:spacing w:after="120" w:line="240" w:lineRule="auto"/>
        <w:ind w:left="357" w:hanging="357"/>
        <w:jc w:val="both"/>
        <w:rPr>
          <w:rFonts w:ascii="Calibri" w:hAnsi="Calibri"/>
          <w:sz w:val="20"/>
          <w:szCs w:val="20"/>
        </w:rPr>
      </w:pPr>
      <w:r w:rsidRPr="00491C91">
        <w:rPr>
          <w:rFonts w:ascii="Calibri" w:hAnsi="Calibri"/>
          <w:sz w:val="20"/>
          <w:szCs w:val="20"/>
        </w:rPr>
        <w:t xml:space="preserve">Není-li v této smlouvě uvedeno jinak, je při úkonech </w:t>
      </w:r>
      <w:r w:rsidR="0046371B">
        <w:rPr>
          <w:rFonts w:ascii="Calibri" w:hAnsi="Calibri"/>
          <w:sz w:val="20"/>
          <w:szCs w:val="20"/>
        </w:rPr>
        <w:t>po</w:t>
      </w:r>
      <w:r w:rsidRPr="00491C91">
        <w:rPr>
          <w:rFonts w:ascii="Calibri" w:hAnsi="Calibri"/>
          <w:sz w:val="20"/>
          <w:szCs w:val="20"/>
        </w:rPr>
        <w:t xml:space="preserve">dle této smlouvy oprávněna jednat jménem poskytovatele osoba uvedená v záhlaví smlouvy, nebo jiný pověřený zaměstnanec poskytovatele. </w:t>
      </w:r>
    </w:p>
    <w:p w:rsidR="000B0821" w:rsidRPr="00491C91" w:rsidRDefault="000B0821" w:rsidP="000B0821">
      <w:pPr>
        <w:numPr>
          <w:ilvl w:val="0"/>
          <w:numId w:val="17"/>
        </w:numPr>
        <w:spacing w:after="120" w:line="240" w:lineRule="auto"/>
        <w:ind w:left="357" w:hanging="357"/>
        <w:jc w:val="both"/>
        <w:rPr>
          <w:rFonts w:ascii="Calibri" w:hAnsi="Calibri"/>
          <w:sz w:val="20"/>
          <w:szCs w:val="20"/>
        </w:rPr>
      </w:pPr>
      <w:r w:rsidRPr="00491C91">
        <w:rPr>
          <w:rFonts w:ascii="Calibri" w:hAnsi="Calibri"/>
          <w:sz w:val="20"/>
          <w:szCs w:val="20"/>
        </w:rPr>
        <w:t xml:space="preserve">Příjemce souhlasí se zveřejněním všech údajů uvedených v této smlouvě a údajů týkajících se projektu podle zákona č. 106/1999 Sb., o svobodném přístupu k informacím, ve znění pozdějších předpisů, včetně celého textu této smlouvy. </w:t>
      </w:r>
    </w:p>
    <w:p w:rsidR="000B0821" w:rsidRPr="00491C91" w:rsidRDefault="000B0821" w:rsidP="000B0821">
      <w:pPr>
        <w:numPr>
          <w:ilvl w:val="0"/>
          <w:numId w:val="17"/>
        </w:numPr>
        <w:spacing w:after="120" w:line="240" w:lineRule="auto"/>
        <w:ind w:left="357" w:hanging="357"/>
        <w:jc w:val="both"/>
        <w:rPr>
          <w:rFonts w:ascii="Calibri" w:hAnsi="Calibri"/>
          <w:sz w:val="20"/>
          <w:szCs w:val="20"/>
        </w:rPr>
      </w:pPr>
      <w:r w:rsidRPr="00491C91">
        <w:rPr>
          <w:rFonts w:ascii="Calibri" w:hAnsi="Calibri"/>
          <w:sz w:val="20"/>
          <w:szCs w:val="20"/>
        </w:rPr>
        <w:lastRenderedPageBreak/>
        <w:t>V případě, že dotace je použita na vytvoření předmětu duševního vlastnictví (zejména autorského díla), poskytuje příjemce poskytovateli právo dílo užít pro své potřeby, a to bezplatně na území České republiky na dobu neurčitou.</w:t>
      </w:r>
    </w:p>
    <w:p w:rsidR="000B0821" w:rsidRPr="00491C91" w:rsidRDefault="000B0821" w:rsidP="000B0821">
      <w:pPr>
        <w:numPr>
          <w:ilvl w:val="0"/>
          <w:numId w:val="17"/>
        </w:numPr>
        <w:spacing w:after="0" w:line="240" w:lineRule="auto"/>
        <w:jc w:val="both"/>
        <w:rPr>
          <w:rFonts w:ascii="Calibri" w:hAnsi="Calibri"/>
          <w:sz w:val="20"/>
          <w:szCs w:val="20"/>
        </w:rPr>
      </w:pPr>
      <w:r w:rsidRPr="00491C91">
        <w:rPr>
          <w:rFonts w:ascii="Calibri" w:hAnsi="Calibri"/>
          <w:sz w:val="20"/>
          <w:szCs w:val="20"/>
        </w:rPr>
        <w:t>Příjemce prohlašuje, že se nenachází v úpadku či likvidaci, a pokud se tak stane, sdělí tuto informaci bez zbytečného odkladu poskytovateli. Příjemce prohlašuje, že nemá v rejstříku trestů záznam o pravomocném odsouzení pro trestný čin; je-li příjemce právnickou osobou, týká se prohlášení podle tohoto ustanovení všech osob, které jsou jejím statutárním orgánem nebo osobami oprávněnými jménem příjemce jednat z jiného titulu (plná moc, prokura apod.).</w:t>
      </w:r>
    </w:p>
    <w:p w:rsidR="000B0821" w:rsidRPr="00491C91" w:rsidRDefault="000B0821" w:rsidP="000B0821">
      <w:pPr>
        <w:spacing w:after="0" w:line="240" w:lineRule="auto"/>
        <w:ind w:left="360"/>
        <w:jc w:val="both"/>
        <w:rPr>
          <w:rFonts w:ascii="Calibri" w:hAnsi="Calibri"/>
          <w:sz w:val="20"/>
          <w:szCs w:val="20"/>
        </w:rPr>
      </w:pPr>
    </w:p>
    <w:p w:rsidR="000B0821" w:rsidRPr="00491C91" w:rsidRDefault="000B0821" w:rsidP="000B0821">
      <w:pPr>
        <w:numPr>
          <w:ilvl w:val="0"/>
          <w:numId w:val="17"/>
        </w:numPr>
        <w:spacing w:after="0" w:line="240" w:lineRule="auto"/>
        <w:jc w:val="both"/>
        <w:rPr>
          <w:rFonts w:ascii="Calibri" w:hAnsi="Calibri"/>
          <w:sz w:val="20"/>
          <w:szCs w:val="20"/>
        </w:rPr>
      </w:pPr>
      <w:r w:rsidRPr="00491C91">
        <w:rPr>
          <w:rFonts w:ascii="Calibri" w:hAnsi="Calibri"/>
          <w:sz w:val="20"/>
          <w:szCs w:val="20"/>
        </w:rPr>
        <w:t>Příjemce prohlašuje, že nemá žádné závazky vůči orgánům veřejné správy po lhůtě splatnosti (zejména se jedná o daňové nedoplatky a penále, nedoplatky na pojistném a na penále na veřejné zdravotní pojištění, na pojistném a penále na sociálním zabezpečení a příspěvku na státní politiku zaměstnanosti, odvody za porušení rozpočtové kázně).</w:t>
      </w:r>
    </w:p>
    <w:p w:rsidR="000B0821" w:rsidRPr="00491C91" w:rsidRDefault="000B0821" w:rsidP="000B0821">
      <w:pPr>
        <w:numPr>
          <w:ilvl w:val="0"/>
          <w:numId w:val="17"/>
        </w:numPr>
        <w:spacing w:before="120" w:after="120" w:line="240" w:lineRule="auto"/>
        <w:ind w:left="357" w:hanging="357"/>
        <w:jc w:val="both"/>
        <w:rPr>
          <w:rFonts w:ascii="Calibri" w:hAnsi="Calibri"/>
          <w:sz w:val="20"/>
          <w:szCs w:val="20"/>
        </w:rPr>
      </w:pPr>
      <w:r w:rsidRPr="00491C91">
        <w:rPr>
          <w:rFonts w:ascii="Calibri" w:hAnsi="Calibri"/>
          <w:sz w:val="20"/>
          <w:szCs w:val="20"/>
        </w:rPr>
        <w:t>Tato smlouva nezaniká dnem ukončení projektu, nýbrž dnem, kdy smluvní strany splní všechny povinnosti, které jim plynou z této smlouvy.</w:t>
      </w:r>
    </w:p>
    <w:p w:rsidR="000B0821" w:rsidRPr="00491C91" w:rsidRDefault="000B0821" w:rsidP="000B0821">
      <w:pPr>
        <w:numPr>
          <w:ilvl w:val="0"/>
          <w:numId w:val="17"/>
        </w:numPr>
        <w:spacing w:after="120" w:line="240" w:lineRule="auto"/>
        <w:ind w:left="357" w:hanging="357"/>
        <w:jc w:val="both"/>
        <w:rPr>
          <w:rFonts w:ascii="Calibri" w:hAnsi="Calibri"/>
          <w:sz w:val="20"/>
          <w:szCs w:val="20"/>
        </w:rPr>
      </w:pPr>
      <w:r w:rsidRPr="00491C91">
        <w:rPr>
          <w:rFonts w:ascii="Calibri" w:hAnsi="Calibri"/>
          <w:sz w:val="20"/>
          <w:szCs w:val="20"/>
        </w:rPr>
        <w:t>Práva a povinnosti z této smlouvy vyplývající přecházejí na právní nástupce smluvních stran.</w:t>
      </w:r>
    </w:p>
    <w:p w:rsidR="000B0821" w:rsidRPr="00491C91" w:rsidRDefault="000B0821" w:rsidP="000B0821">
      <w:pPr>
        <w:numPr>
          <w:ilvl w:val="0"/>
          <w:numId w:val="17"/>
        </w:numPr>
        <w:spacing w:after="120" w:line="240" w:lineRule="auto"/>
        <w:jc w:val="both"/>
        <w:rPr>
          <w:rFonts w:ascii="Calibri" w:hAnsi="Calibri"/>
          <w:sz w:val="20"/>
          <w:szCs w:val="20"/>
        </w:rPr>
      </w:pPr>
      <w:r w:rsidRPr="00491C91">
        <w:rPr>
          <w:rFonts w:ascii="Calibri" w:hAnsi="Calibri"/>
          <w:sz w:val="20"/>
          <w:szCs w:val="20"/>
        </w:rPr>
        <w:t xml:space="preserve">Tato smlouva nabývá platnosti a účinnosti dnem podpisu </w:t>
      </w:r>
      <w:r w:rsidR="0046371B">
        <w:rPr>
          <w:rFonts w:ascii="Calibri" w:hAnsi="Calibri"/>
          <w:sz w:val="20"/>
          <w:szCs w:val="20"/>
        </w:rPr>
        <w:t>poskytovatelem</w:t>
      </w:r>
      <w:r w:rsidRPr="00491C91">
        <w:rPr>
          <w:rFonts w:ascii="Calibri" w:hAnsi="Calibri"/>
          <w:sz w:val="20"/>
          <w:szCs w:val="20"/>
        </w:rPr>
        <w:t>.</w:t>
      </w:r>
    </w:p>
    <w:p w:rsidR="000B0821" w:rsidRPr="00491C91" w:rsidRDefault="000B0821" w:rsidP="000B0821">
      <w:pPr>
        <w:numPr>
          <w:ilvl w:val="0"/>
          <w:numId w:val="17"/>
        </w:numPr>
        <w:spacing w:after="120" w:line="240" w:lineRule="auto"/>
        <w:jc w:val="both"/>
        <w:rPr>
          <w:rFonts w:ascii="Calibri" w:hAnsi="Calibri"/>
          <w:sz w:val="20"/>
          <w:szCs w:val="20"/>
        </w:rPr>
      </w:pPr>
      <w:r w:rsidRPr="00491C91">
        <w:rPr>
          <w:rFonts w:ascii="Calibri" w:hAnsi="Calibri"/>
          <w:sz w:val="20"/>
          <w:szCs w:val="20"/>
        </w:rPr>
        <w:t>Jakékoli změny této smlouvy lze provádět pouze formou písemných, postupně číslovaných</w:t>
      </w:r>
      <w:r w:rsidR="0046371B">
        <w:rPr>
          <w:rFonts w:ascii="Calibri" w:hAnsi="Calibri"/>
          <w:sz w:val="20"/>
          <w:szCs w:val="20"/>
        </w:rPr>
        <w:t>,</w:t>
      </w:r>
      <w:r w:rsidRPr="00491C91">
        <w:rPr>
          <w:rFonts w:ascii="Calibri" w:hAnsi="Calibri"/>
          <w:sz w:val="20"/>
          <w:szCs w:val="20"/>
        </w:rPr>
        <w:t xml:space="preserve"> dodatků na základě dohody obou smluvních stran. </w:t>
      </w:r>
    </w:p>
    <w:p w:rsidR="000B0821" w:rsidRPr="00491C91" w:rsidRDefault="000B0821" w:rsidP="000B0821">
      <w:pPr>
        <w:numPr>
          <w:ilvl w:val="0"/>
          <w:numId w:val="17"/>
        </w:numPr>
        <w:spacing w:after="120" w:line="240" w:lineRule="auto"/>
        <w:jc w:val="both"/>
        <w:rPr>
          <w:rFonts w:ascii="Calibri" w:hAnsi="Calibri"/>
          <w:sz w:val="20"/>
          <w:szCs w:val="20"/>
        </w:rPr>
      </w:pPr>
      <w:r w:rsidRPr="00491C91">
        <w:rPr>
          <w:rFonts w:ascii="Calibri" w:hAnsi="Calibri"/>
          <w:sz w:val="20"/>
          <w:szCs w:val="20"/>
        </w:rPr>
        <w:t>Vztahy touto smlouvou neupravené se řídí právním řádem České republiky zejména ustanoveními § 159 a</w:t>
      </w:r>
      <w:r w:rsidR="0046371B">
        <w:rPr>
          <w:rFonts w:ascii="Calibri" w:hAnsi="Calibri"/>
          <w:sz w:val="20"/>
          <w:szCs w:val="20"/>
        </w:rPr>
        <w:t> </w:t>
      </w:r>
      <w:proofErr w:type="spellStart"/>
      <w:r w:rsidRPr="00491C91">
        <w:rPr>
          <w:rFonts w:ascii="Calibri" w:hAnsi="Calibri"/>
          <w:sz w:val="20"/>
          <w:szCs w:val="20"/>
        </w:rPr>
        <w:t>násl</w:t>
      </w:r>
      <w:proofErr w:type="spellEnd"/>
      <w:r w:rsidRPr="00491C91">
        <w:rPr>
          <w:rFonts w:ascii="Calibri" w:hAnsi="Calibri"/>
          <w:sz w:val="20"/>
          <w:szCs w:val="20"/>
        </w:rPr>
        <w:t>. zákona č. 500/2004 Sb., správní řád, ve znění pozdějších předpisů</w:t>
      </w:r>
      <w:r w:rsidR="0046371B">
        <w:rPr>
          <w:rFonts w:ascii="Calibri" w:hAnsi="Calibri"/>
          <w:sz w:val="20"/>
          <w:szCs w:val="20"/>
        </w:rPr>
        <w:t>,</w:t>
      </w:r>
      <w:r w:rsidRPr="00491C91">
        <w:rPr>
          <w:rFonts w:ascii="Calibri" w:hAnsi="Calibri"/>
          <w:sz w:val="20"/>
          <w:szCs w:val="20"/>
        </w:rPr>
        <w:t xml:space="preserve"> a příslušnými ustanoveními zákona č. </w:t>
      </w:r>
      <w:r w:rsidR="0046371B">
        <w:rPr>
          <w:rFonts w:ascii="Calibri" w:hAnsi="Calibri"/>
          <w:sz w:val="20"/>
          <w:szCs w:val="20"/>
        </w:rPr>
        <w:t>89/2012</w:t>
      </w:r>
      <w:r w:rsidRPr="00491C91">
        <w:rPr>
          <w:rFonts w:ascii="Calibri" w:hAnsi="Calibri"/>
          <w:sz w:val="20"/>
          <w:szCs w:val="20"/>
        </w:rPr>
        <w:t> Sb., občanský zákoník.</w:t>
      </w:r>
    </w:p>
    <w:p w:rsidR="000B0821" w:rsidRPr="00491C91" w:rsidRDefault="000B0821" w:rsidP="000B0821">
      <w:pPr>
        <w:numPr>
          <w:ilvl w:val="0"/>
          <w:numId w:val="17"/>
        </w:numPr>
        <w:spacing w:after="120" w:line="240" w:lineRule="auto"/>
        <w:jc w:val="both"/>
        <w:rPr>
          <w:rFonts w:ascii="Calibri" w:hAnsi="Calibri"/>
          <w:sz w:val="20"/>
          <w:szCs w:val="20"/>
        </w:rPr>
      </w:pPr>
      <w:r w:rsidRPr="00491C91">
        <w:rPr>
          <w:rFonts w:ascii="Calibri" w:hAnsi="Calibri"/>
          <w:sz w:val="20"/>
          <w:szCs w:val="20"/>
        </w:rPr>
        <w:t>Tato smlouva je sepsána ve třech vyhotoveních, z nichž dvě jsou určeny pro poskytovatele a jedno pro příjemce.</w:t>
      </w:r>
    </w:p>
    <w:p w:rsidR="000B0821" w:rsidRPr="00491C91" w:rsidRDefault="000B0821" w:rsidP="000B0821">
      <w:pPr>
        <w:numPr>
          <w:ilvl w:val="0"/>
          <w:numId w:val="17"/>
        </w:numPr>
        <w:spacing w:after="120" w:line="240" w:lineRule="auto"/>
        <w:jc w:val="both"/>
        <w:rPr>
          <w:rFonts w:ascii="Calibri" w:hAnsi="Calibri"/>
          <w:sz w:val="20"/>
          <w:szCs w:val="20"/>
        </w:rPr>
      </w:pPr>
      <w:r w:rsidRPr="00491C91">
        <w:rPr>
          <w:rFonts w:ascii="Calibri" w:hAnsi="Calibri"/>
          <w:sz w:val="20"/>
          <w:szCs w:val="20"/>
        </w:rPr>
        <w:t>Smluvní strany prohlašují, že tato smlouva byla sepsána na základě pravdivých údajů, podle jejich svobodné a vážné vůle a na důkaz toho připojují své vlastnoruční podpisy.</w:t>
      </w:r>
    </w:p>
    <w:p w:rsidR="000B0821" w:rsidRPr="00491C91" w:rsidRDefault="000B0821" w:rsidP="000B0821">
      <w:pPr>
        <w:numPr>
          <w:ilvl w:val="0"/>
          <w:numId w:val="17"/>
        </w:numPr>
        <w:spacing w:after="120" w:line="240" w:lineRule="auto"/>
        <w:jc w:val="both"/>
        <w:rPr>
          <w:rFonts w:ascii="Calibri" w:hAnsi="Calibri"/>
          <w:sz w:val="20"/>
          <w:szCs w:val="20"/>
        </w:rPr>
      </w:pPr>
      <w:r w:rsidRPr="00491C91">
        <w:rPr>
          <w:rFonts w:ascii="Calibri" w:hAnsi="Calibri"/>
          <w:sz w:val="20"/>
          <w:szCs w:val="20"/>
        </w:rPr>
        <w:t>Příjemce svým podpisem stvrzuje správnost veškerých údajů uvedených v této smlouvě.</w:t>
      </w:r>
    </w:p>
    <w:p w:rsidR="000B0821" w:rsidRPr="00491C91" w:rsidRDefault="000B0821" w:rsidP="000B0821">
      <w:pPr>
        <w:keepNext/>
        <w:spacing w:after="120"/>
        <w:ind w:left="360"/>
        <w:jc w:val="both"/>
        <w:rPr>
          <w:rFonts w:ascii="Calibri" w:hAnsi="Calibri"/>
          <w:b/>
          <w:iCs/>
          <w:sz w:val="20"/>
          <w:szCs w:val="20"/>
        </w:rPr>
      </w:pPr>
    </w:p>
    <w:p w:rsidR="000B0821" w:rsidRPr="00491C91" w:rsidRDefault="000B0821" w:rsidP="000B0821">
      <w:pPr>
        <w:keepNext/>
        <w:spacing w:after="120"/>
        <w:ind w:left="360"/>
        <w:jc w:val="both"/>
        <w:rPr>
          <w:rFonts w:ascii="Calibri" w:hAnsi="Calibri"/>
          <w:sz w:val="20"/>
          <w:szCs w:val="20"/>
        </w:rPr>
      </w:pPr>
      <w:r w:rsidRPr="00491C91">
        <w:rPr>
          <w:rFonts w:ascii="Calibri" w:hAnsi="Calibri"/>
          <w:b/>
          <w:iCs/>
          <w:sz w:val="20"/>
          <w:szCs w:val="20"/>
        </w:rPr>
        <w:t xml:space="preserve">Doložka podle § 23 zákona o krajích </w:t>
      </w:r>
    </w:p>
    <w:p w:rsidR="000B0821" w:rsidRPr="00491C91" w:rsidRDefault="000B0821" w:rsidP="000B0821">
      <w:pPr>
        <w:keepNext/>
        <w:spacing w:after="120"/>
        <w:ind w:left="360"/>
        <w:jc w:val="both"/>
        <w:rPr>
          <w:rFonts w:ascii="Calibri" w:hAnsi="Calibri"/>
          <w:sz w:val="20"/>
          <w:szCs w:val="20"/>
        </w:rPr>
      </w:pPr>
      <w:r w:rsidRPr="00491C91">
        <w:rPr>
          <w:rFonts w:ascii="Calibri" w:hAnsi="Calibri"/>
          <w:iCs/>
          <w:sz w:val="20"/>
          <w:szCs w:val="20"/>
        </w:rPr>
        <w:t xml:space="preserve">O poskytnutí dotace rozhodlo Zastupitelstvo Královéhradeckého kraje na svém zasedání konaném dne </w:t>
      </w:r>
      <w:proofErr w:type="spellStart"/>
      <w:r w:rsidR="003D1290" w:rsidRPr="004A7555">
        <w:rPr>
          <w:rFonts w:ascii="Calibri" w:hAnsi="Calibri"/>
          <w:iCs/>
          <w:sz w:val="20"/>
          <w:szCs w:val="20"/>
          <w:highlight w:val="yellow"/>
        </w:rPr>
        <w:t>xxxx</w:t>
      </w:r>
      <w:proofErr w:type="spellEnd"/>
      <w:r w:rsidRPr="00491C91">
        <w:rPr>
          <w:rFonts w:ascii="Calibri" w:hAnsi="Calibri"/>
          <w:sz w:val="20"/>
          <w:szCs w:val="20"/>
        </w:rPr>
        <w:t xml:space="preserve"> usnesením č. </w:t>
      </w:r>
      <w:proofErr w:type="spellStart"/>
      <w:r w:rsidR="003D1290" w:rsidRPr="004A7555">
        <w:rPr>
          <w:rFonts w:ascii="Calibri" w:hAnsi="Calibri"/>
          <w:sz w:val="20"/>
          <w:szCs w:val="20"/>
          <w:highlight w:val="yellow"/>
        </w:rPr>
        <w:t>xxxx</w:t>
      </w:r>
      <w:proofErr w:type="spellEnd"/>
      <w:r w:rsidRPr="004A7555">
        <w:rPr>
          <w:rFonts w:ascii="Calibri" w:hAnsi="Calibri"/>
          <w:sz w:val="20"/>
          <w:szCs w:val="20"/>
          <w:highlight w:val="yellow"/>
        </w:rPr>
        <w:t>.</w:t>
      </w:r>
    </w:p>
    <w:p w:rsidR="000B0821" w:rsidRPr="00491C91" w:rsidRDefault="000B0821" w:rsidP="000B0821">
      <w:pPr>
        <w:rPr>
          <w:rFonts w:ascii="Calibri" w:hAnsi="Calibri"/>
          <w:sz w:val="20"/>
          <w:szCs w:val="20"/>
        </w:rPr>
      </w:pPr>
    </w:p>
    <w:p w:rsidR="000B0821" w:rsidRPr="00491C91" w:rsidRDefault="000B0821" w:rsidP="000B0821">
      <w:pPr>
        <w:tabs>
          <w:tab w:val="left" w:pos="284"/>
          <w:tab w:val="center" w:pos="2160"/>
          <w:tab w:val="center" w:pos="7020"/>
        </w:tabs>
        <w:rPr>
          <w:rFonts w:ascii="Calibri" w:hAnsi="Calibri"/>
          <w:sz w:val="20"/>
          <w:szCs w:val="20"/>
        </w:rPr>
      </w:pPr>
      <w:r w:rsidRPr="00491C91">
        <w:rPr>
          <w:rFonts w:ascii="Calibri" w:hAnsi="Calibri"/>
          <w:sz w:val="20"/>
          <w:szCs w:val="20"/>
        </w:rPr>
        <w:tab/>
        <w:t xml:space="preserve">V ........................... </w:t>
      </w:r>
      <w:proofErr w:type="gramStart"/>
      <w:r w:rsidRPr="00491C91">
        <w:rPr>
          <w:rFonts w:ascii="Calibri" w:hAnsi="Calibri"/>
          <w:sz w:val="20"/>
          <w:szCs w:val="20"/>
        </w:rPr>
        <w:t>dne .............................                              V Hradci</w:t>
      </w:r>
      <w:proofErr w:type="gramEnd"/>
      <w:r w:rsidRPr="00491C91">
        <w:rPr>
          <w:rFonts w:ascii="Calibri" w:hAnsi="Calibri"/>
          <w:sz w:val="20"/>
          <w:szCs w:val="20"/>
        </w:rPr>
        <w:t xml:space="preserve"> Králové dne ............................................</w:t>
      </w:r>
    </w:p>
    <w:p w:rsidR="000B0821" w:rsidRPr="00491C91" w:rsidRDefault="000B0821" w:rsidP="000B0821">
      <w:pPr>
        <w:tabs>
          <w:tab w:val="center" w:pos="2160"/>
          <w:tab w:val="center" w:pos="7020"/>
        </w:tabs>
        <w:rPr>
          <w:rFonts w:ascii="Calibri" w:hAnsi="Calibri"/>
          <w:sz w:val="20"/>
          <w:szCs w:val="20"/>
        </w:rPr>
      </w:pPr>
    </w:p>
    <w:p w:rsidR="000B0821" w:rsidRPr="00491C91" w:rsidRDefault="000B0821" w:rsidP="004C5007">
      <w:pPr>
        <w:tabs>
          <w:tab w:val="left" w:pos="284"/>
          <w:tab w:val="center" w:pos="2160"/>
          <w:tab w:val="center" w:pos="7020"/>
        </w:tabs>
        <w:spacing w:after="0"/>
        <w:rPr>
          <w:rFonts w:ascii="Calibri" w:hAnsi="Calibri"/>
          <w:sz w:val="20"/>
          <w:szCs w:val="20"/>
        </w:rPr>
      </w:pPr>
      <w:r w:rsidRPr="00491C91">
        <w:rPr>
          <w:rFonts w:ascii="Calibri" w:hAnsi="Calibri"/>
          <w:sz w:val="20"/>
          <w:szCs w:val="20"/>
        </w:rPr>
        <w:t xml:space="preserve">       ………..……………………...…………......................</w:t>
      </w:r>
      <w:r w:rsidRPr="00491C91">
        <w:rPr>
          <w:rFonts w:ascii="Calibri" w:hAnsi="Calibri"/>
          <w:sz w:val="20"/>
          <w:szCs w:val="20"/>
        </w:rPr>
        <w:tab/>
        <w:t>..................................……………………………………….</w:t>
      </w:r>
    </w:p>
    <w:p w:rsidR="000B0821" w:rsidRPr="005C671B" w:rsidRDefault="000B0821" w:rsidP="005C671B">
      <w:pPr>
        <w:tabs>
          <w:tab w:val="center" w:pos="1980"/>
          <w:tab w:val="center" w:pos="7020"/>
        </w:tabs>
        <w:rPr>
          <w:rFonts w:ascii="Calibri" w:hAnsi="Calibri"/>
          <w:sz w:val="20"/>
          <w:szCs w:val="20"/>
        </w:rPr>
      </w:pPr>
      <w:r w:rsidRPr="00491C91">
        <w:rPr>
          <w:rFonts w:ascii="Calibri" w:hAnsi="Calibri"/>
          <w:sz w:val="20"/>
          <w:szCs w:val="20"/>
        </w:rPr>
        <w:t xml:space="preserve">   </w:t>
      </w:r>
      <w:r w:rsidR="005C671B" w:rsidRPr="00491C91">
        <w:rPr>
          <w:rFonts w:ascii="Calibri" w:hAnsi="Calibri"/>
          <w:sz w:val="20"/>
          <w:szCs w:val="20"/>
        </w:rPr>
        <w:t xml:space="preserve">  </w:t>
      </w:r>
      <w:r w:rsidR="005C671B" w:rsidRPr="00491C91">
        <w:rPr>
          <w:rFonts w:ascii="Calibri" w:hAnsi="Calibri"/>
          <w:sz w:val="20"/>
          <w:szCs w:val="20"/>
        </w:rPr>
        <w:tab/>
        <w:t>za příjemce</w:t>
      </w:r>
      <w:r w:rsidR="005C671B" w:rsidRPr="00491C91">
        <w:rPr>
          <w:rFonts w:ascii="Calibri" w:hAnsi="Calibri"/>
          <w:sz w:val="20"/>
          <w:szCs w:val="20"/>
        </w:rPr>
        <w:tab/>
        <w:t>za poskytovatele</w:t>
      </w:r>
    </w:p>
    <w:sectPr w:rsidR="000B0821" w:rsidRPr="005C671B" w:rsidSect="00337E31">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DA0" w:rsidRDefault="00531DA0" w:rsidP="002478AC">
      <w:pPr>
        <w:spacing w:after="0" w:line="240" w:lineRule="auto"/>
      </w:pPr>
      <w:r>
        <w:separator/>
      </w:r>
    </w:p>
  </w:endnote>
  <w:endnote w:type="continuationSeparator" w:id="0">
    <w:p w:rsidR="00531DA0" w:rsidRDefault="00531DA0" w:rsidP="002478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DA0" w:rsidRDefault="00531DA0" w:rsidP="002478AC">
      <w:pPr>
        <w:spacing w:after="0" w:line="240" w:lineRule="auto"/>
      </w:pPr>
      <w:r>
        <w:separator/>
      </w:r>
    </w:p>
  </w:footnote>
  <w:footnote w:type="continuationSeparator" w:id="0">
    <w:p w:rsidR="00531DA0" w:rsidRDefault="00531DA0" w:rsidP="002478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745" w:rsidRDefault="008F4745" w:rsidP="008F4745">
    <w:pPr>
      <w:pStyle w:val="Zhlav"/>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74EA"/>
    <w:multiLevelType w:val="multilevel"/>
    <w:tmpl w:val="E424F22E"/>
    <w:lvl w:ilvl="0">
      <w:start w:val="1"/>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907"/>
        </w:tabs>
        <w:ind w:left="907" w:hanging="18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1723194"/>
    <w:multiLevelType w:val="hybridMultilevel"/>
    <w:tmpl w:val="AFF84DCC"/>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nsid w:val="051053B2"/>
    <w:multiLevelType w:val="hybridMultilevel"/>
    <w:tmpl w:val="EC4A5778"/>
    <w:lvl w:ilvl="0" w:tplc="7BFA9A8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0EF5508"/>
    <w:multiLevelType w:val="hybridMultilevel"/>
    <w:tmpl w:val="096483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B762C5"/>
    <w:multiLevelType w:val="multilevel"/>
    <w:tmpl w:val="6DD62122"/>
    <w:lvl w:ilvl="0">
      <w:start w:val="1"/>
      <w:numFmt w:val="decimal"/>
      <w:lvlText w:val="%1."/>
      <w:lvlJc w:val="left"/>
      <w:pPr>
        <w:tabs>
          <w:tab w:val="num" w:pos="360"/>
        </w:tabs>
        <w:ind w:left="360" w:hanging="360"/>
      </w:pPr>
      <w:rPr>
        <w:rFonts w:hint="default"/>
        <w:b w:val="0"/>
        <w:i w:val="0"/>
        <w:sz w:val="20"/>
        <w:szCs w:val="20"/>
        <w:u w:val="none"/>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AD7645E"/>
    <w:multiLevelType w:val="multilevel"/>
    <w:tmpl w:val="675EE0A6"/>
    <w:lvl w:ilvl="0">
      <w:start w:val="1"/>
      <w:numFmt w:val="decimal"/>
      <w:lvlText w:val="%1."/>
      <w:lvlJc w:val="left"/>
      <w:pPr>
        <w:tabs>
          <w:tab w:val="num" w:pos="360"/>
        </w:tabs>
        <w:ind w:left="360" w:hanging="360"/>
      </w:pPr>
      <w:rPr>
        <w:rFonts w:ascii="Calibri" w:hAnsi="Calibri" w:hint="default"/>
        <w:b w:val="0"/>
        <w:i w:val="0"/>
        <w:sz w:val="20"/>
        <w:szCs w:val="20"/>
        <w:u w:val="none"/>
      </w:rPr>
    </w:lvl>
    <w:lvl w:ilvl="1">
      <w:start w:val="1"/>
      <w:numFmt w:val="lowerLetter"/>
      <w:lvlText w:val="%2)"/>
      <w:lvlJc w:val="left"/>
      <w:pPr>
        <w:tabs>
          <w:tab w:val="num" w:pos="720"/>
        </w:tabs>
        <w:ind w:left="720" w:hanging="360"/>
      </w:pPr>
      <w:rPr>
        <w:rFonts w:ascii="Calibri" w:hAnsi="Calibri" w:hint="default"/>
        <w:b w:val="0"/>
        <w:i w:val="0"/>
        <w:sz w:val="20"/>
        <w:szCs w:val="20"/>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AFD0974"/>
    <w:multiLevelType w:val="hybridMultilevel"/>
    <w:tmpl w:val="5E960704"/>
    <w:lvl w:ilvl="0" w:tplc="71AC4C9E">
      <w:start w:val="1"/>
      <w:numFmt w:val="lowerLetter"/>
      <w:lvlText w:val="%1)"/>
      <w:lvlJc w:val="left"/>
      <w:pPr>
        <w:ind w:left="1146" w:hanging="360"/>
      </w:pPr>
      <w:rPr>
        <w:b w:val="0"/>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nsid w:val="230B12EB"/>
    <w:multiLevelType w:val="multilevel"/>
    <w:tmpl w:val="B4907DAA"/>
    <w:lvl w:ilvl="0">
      <w:start w:val="1"/>
      <w:numFmt w:val="decimal"/>
      <w:lvlText w:val="%1."/>
      <w:lvlJc w:val="left"/>
      <w:pPr>
        <w:tabs>
          <w:tab w:val="num" w:pos="360"/>
        </w:tabs>
        <w:ind w:left="360" w:hanging="360"/>
      </w:pPr>
      <w:rPr>
        <w:rFonts w:hint="default"/>
        <w:b w:val="0"/>
        <w:i w:val="0"/>
        <w:sz w:val="20"/>
        <w:szCs w:val="20"/>
        <w:u w:val="none"/>
      </w:rPr>
    </w:lvl>
    <w:lvl w:ilvl="1">
      <w:start w:val="1"/>
      <w:numFmt w:val="decimal"/>
      <w:lvlText w:val="%2."/>
      <w:lvlJc w:val="left"/>
      <w:pPr>
        <w:tabs>
          <w:tab w:val="num" w:pos="644"/>
        </w:tabs>
        <w:ind w:left="644" w:hanging="360"/>
      </w:pPr>
      <w:rPr>
        <w:rFonts w:hint="default"/>
        <w:b w:val="0"/>
        <w:i w:val="0"/>
        <w:sz w:val="20"/>
        <w:szCs w:val="20"/>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3D44179"/>
    <w:multiLevelType w:val="hybridMultilevel"/>
    <w:tmpl w:val="76262E84"/>
    <w:lvl w:ilvl="0" w:tplc="01C2E1C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nsid w:val="2C2D75D2"/>
    <w:multiLevelType w:val="hybridMultilevel"/>
    <w:tmpl w:val="C8DC44D8"/>
    <w:lvl w:ilvl="0" w:tplc="801E6E20">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FF75872"/>
    <w:multiLevelType w:val="hybridMultilevel"/>
    <w:tmpl w:val="308E2AB8"/>
    <w:lvl w:ilvl="0" w:tplc="4672E4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E5E6435"/>
    <w:multiLevelType w:val="hybridMultilevel"/>
    <w:tmpl w:val="F38A7C9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nsid w:val="3F032336"/>
    <w:multiLevelType w:val="hybridMultilevel"/>
    <w:tmpl w:val="C8DC44D8"/>
    <w:lvl w:ilvl="0" w:tplc="801E6E20">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2044BF6"/>
    <w:multiLevelType w:val="multilevel"/>
    <w:tmpl w:val="B4907DAA"/>
    <w:lvl w:ilvl="0">
      <w:start w:val="1"/>
      <w:numFmt w:val="decimal"/>
      <w:lvlText w:val="%1."/>
      <w:lvlJc w:val="left"/>
      <w:pPr>
        <w:tabs>
          <w:tab w:val="num" w:pos="360"/>
        </w:tabs>
        <w:ind w:left="360" w:hanging="360"/>
      </w:pPr>
      <w:rPr>
        <w:rFonts w:hint="default"/>
        <w:b w:val="0"/>
        <w:i w:val="0"/>
        <w:sz w:val="20"/>
        <w:szCs w:val="20"/>
        <w:u w:val="none"/>
      </w:rPr>
    </w:lvl>
    <w:lvl w:ilvl="1">
      <w:start w:val="1"/>
      <w:numFmt w:val="decimal"/>
      <w:lvlText w:val="%2."/>
      <w:lvlJc w:val="left"/>
      <w:pPr>
        <w:tabs>
          <w:tab w:val="num" w:pos="720"/>
        </w:tabs>
        <w:ind w:left="720" w:hanging="360"/>
      </w:pPr>
      <w:rPr>
        <w:rFonts w:hint="default"/>
        <w:b w:val="0"/>
        <w:i w:val="0"/>
        <w:sz w:val="20"/>
        <w:szCs w:val="20"/>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51100DCB"/>
    <w:multiLevelType w:val="multilevel"/>
    <w:tmpl w:val="4F2E162C"/>
    <w:lvl w:ilvl="0">
      <w:start w:val="1"/>
      <w:numFmt w:val="decimal"/>
      <w:lvlText w:val="%1."/>
      <w:lvlJc w:val="left"/>
      <w:pPr>
        <w:tabs>
          <w:tab w:val="num" w:pos="360"/>
        </w:tabs>
        <w:ind w:left="360" w:hanging="360"/>
      </w:pPr>
      <w:rPr>
        <w:b/>
        <w:i w:val="0"/>
        <w:sz w:val="24"/>
        <w:szCs w:val="24"/>
      </w:rPr>
    </w:lvl>
    <w:lvl w:ilvl="1">
      <w:start w:val="1"/>
      <w:numFmt w:val="decimal"/>
      <w:lvlText w:val="%1.%2."/>
      <w:lvlJc w:val="left"/>
      <w:pPr>
        <w:tabs>
          <w:tab w:val="num" w:pos="907"/>
        </w:tabs>
        <w:ind w:left="907" w:hanging="547"/>
      </w:pPr>
      <w:rPr>
        <w:rFonts w:ascii="Times New Roman" w:hAnsi="Times New Roman" w:cs="Times New Roman" w:hint="default"/>
        <w:b w:val="0"/>
        <w:i w:val="0"/>
        <w:sz w:val="24"/>
        <w:szCs w:val="24"/>
      </w:rPr>
    </w:lvl>
    <w:lvl w:ilvl="2">
      <w:start w:val="1"/>
      <w:numFmt w:val="lowerLetter"/>
      <w:lvlText w:val="%3)"/>
      <w:lvlJc w:val="left"/>
      <w:pPr>
        <w:tabs>
          <w:tab w:val="num" w:pos="1247"/>
        </w:tabs>
        <w:ind w:left="1247" w:hanging="340"/>
      </w:pPr>
      <w:rPr>
        <w:b w:val="0"/>
        <w:i w:val="0"/>
      </w:rPr>
    </w:lvl>
    <w:lvl w:ilvl="3">
      <w:start w:val="1"/>
      <w:numFmt w:val="decimal"/>
      <w:lvlText w:val="%1.%2.%3.%4."/>
      <w:lvlJc w:val="left"/>
      <w:pPr>
        <w:tabs>
          <w:tab w:val="num" w:pos="1800"/>
        </w:tabs>
        <w:ind w:left="1728" w:hanging="648"/>
      </w:pPr>
      <w:rPr>
        <w:color w:val="auto"/>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2846819"/>
    <w:multiLevelType w:val="hybridMultilevel"/>
    <w:tmpl w:val="BAFAA55A"/>
    <w:lvl w:ilvl="0" w:tplc="24F2B3BC">
      <w:start w:val="1"/>
      <w:numFmt w:val="lowerLetter"/>
      <w:lvlText w:val="%1)"/>
      <w:lvlJc w:val="left"/>
      <w:pPr>
        <w:ind w:left="720" w:hanging="360"/>
      </w:pPr>
      <w:rPr>
        <w:rFonts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4551058"/>
    <w:multiLevelType w:val="hybridMultilevel"/>
    <w:tmpl w:val="7EC4B8C0"/>
    <w:lvl w:ilvl="0" w:tplc="501E2018">
      <w:start w:val="1"/>
      <w:numFmt w:val="decimal"/>
      <w:lvlText w:val="%1."/>
      <w:lvlJc w:val="left"/>
      <w:pPr>
        <w:tabs>
          <w:tab w:val="num" w:pos="720"/>
        </w:tabs>
        <w:ind w:left="720" w:hanging="360"/>
      </w:pPr>
      <w:rPr>
        <w:rFonts w:hint="default"/>
        <w:b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6007D7B"/>
    <w:multiLevelType w:val="hybridMultilevel"/>
    <w:tmpl w:val="CE02D5EA"/>
    <w:lvl w:ilvl="0" w:tplc="63E021AA">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8">
    <w:nsid w:val="5B6633EC"/>
    <w:multiLevelType w:val="hybridMultilevel"/>
    <w:tmpl w:val="A1BC1D88"/>
    <w:lvl w:ilvl="0" w:tplc="256AD658">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9">
    <w:nsid w:val="7289322A"/>
    <w:multiLevelType w:val="multilevel"/>
    <w:tmpl w:val="9398C0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796E34F0"/>
    <w:multiLevelType w:val="multilevel"/>
    <w:tmpl w:val="790C4A44"/>
    <w:lvl w:ilvl="0">
      <w:start w:val="1"/>
      <w:numFmt w:val="decimal"/>
      <w:lvlText w:val="%1."/>
      <w:lvlJc w:val="left"/>
      <w:pPr>
        <w:tabs>
          <w:tab w:val="num" w:pos="360"/>
        </w:tabs>
        <w:ind w:left="360" w:hanging="360"/>
      </w:pPr>
      <w:rPr>
        <w:rFonts w:ascii="Calibri" w:hAnsi="Calibri" w:hint="default"/>
        <w:b w:val="0"/>
        <w:i w:val="0"/>
        <w:sz w:val="20"/>
        <w:szCs w:val="20"/>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7982421B"/>
    <w:multiLevelType w:val="hybridMultilevel"/>
    <w:tmpl w:val="7B583B2A"/>
    <w:lvl w:ilvl="0" w:tplc="24F2B3BC">
      <w:start w:val="1"/>
      <w:numFmt w:val="lowerLetter"/>
      <w:lvlText w:val="%1)"/>
      <w:lvlJc w:val="left"/>
      <w:pPr>
        <w:ind w:left="1571" w:hanging="360"/>
      </w:pPr>
      <w:rPr>
        <w:rFonts w:hint="default"/>
        <w:b w:val="0"/>
        <w:color w:val="auto"/>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2">
    <w:nsid w:val="7B66539C"/>
    <w:multiLevelType w:val="hybridMultilevel"/>
    <w:tmpl w:val="745C8ED6"/>
    <w:lvl w:ilvl="0" w:tplc="24F2B3BC">
      <w:start w:val="1"/>
      <w:numFmt w:val="lowerLetter"/>
      <w:lvlText w:val="%1)"/>
      <w:lvlJc w:val="left"/>
      <w:pPr>
        <w:ind w:left="786" w:hanging="360"/>
      </w:pPr>
      <w:rPr>
        <w:rFonts w:hint="default"/>
        <w:b w:val="0"/>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3"/>
  </w:num>
  <w:num w:numId="2">
    <w:abstractNumId w:val="6"/>
  </w:num>
  <w:num w:numId="3">
    <w:abstractNumId w:val="12"/>
  </w:num>
  <w:num w:numId="4">
    <w:abstractNumId w:val="8"/>
  </w:num>
  <w:num w:numId="5">
    <w:abstractNumId w:val="17"/>
  </w:num>
  <w:num w:numId="6">
    <w:abstractNumId w:val="22"/>
  </w:num>
  <w:num w:numId="7">
    <w:abstractNumId w:val="10"/>
  </w:num>
  <w:num w:numId="8">
    <w:abstractNumId w:val="2"/>
  </w:num>
  <w:num w:numId="9">
    <w:abstractNumId w:val="1"/>
  </w:num>
  <w:num w:numId="10">
    <w:abstractNumId w:val="13"/>
  </w:num>
  <w:num w:numId="11">
    <w:abstractNumId w:val="7"/>
  </w:num>
  <w:num w:numId="12">
    <w:abstractNumId w:val="9"/>
  </w:num>
  <w:num w:numId="13">
    <w:abstractNumId w:val="4"/>
  </w:num>
  <w:num w:numId="14">
    <w:abstractNumId w:val="16"/>
  </w:num>
  <w:num w:numId="15">
    <w:abstractNumId w:val="0"/>
  </w:num>
  <w:num w:numId="16">
    <w:abstractNumId w:val="5"/>
  </w:num>
  <w:num w:numId="17">
    <w:abstractNumId w:val="20"/>
  </w:num>
  <w:num w:numId="18">
    <w:abstractNumId w:val="11"/>
  </w:num>
  <w:num w:numId="19">
    <w:abstractNumId w:val="18"/>
  </w:num>
  <w:num w:numId="20">
    <w:abstractNumId w:val="15"/>
  </w:num>
  <w:num w:numId="21">
    <w:abstractNumId w:val="21"/>
  </w:num>
  <w:num w:numId="22">
    <w:abstractNumId w:val="19"/>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97281"/>
  </w:hdrShapeDefaults>
  <w:footnotePr>
    <w:footnote w:id="-1"/>
    <w:footnote w:id="0"/>
  </w:footnotePr>
  <w:endnotePr>
    <w:endnote w:id="-1"/>
    <w:endnote w:id="0"/>
  </w:endnotePr>
  <w:compat/>
  <w:rsids>
    <w:rsidRoot w:val="00946947"/>
    <w:rsid w:val="0000289C"/>
    <w:rsid w:val="000072D6"/>
    <w:rsid w:val="000532EC"/>
    <w:rsid w:val="00054F42"/>
    <w:rsid w:val="000605C4"/>
    <w:rsid w:val="000935C7"/>
    <w:rsid w:val="00096752"/>
    <w:rsid w:val="000B0821"/>
    <w:rsid w:val="000C0FC4"/>
    <w:rsid w:val="000C6910"/>
    <w:rsid w:val="000D0579"/>
    <w:rsid w:val="000E540D"/>
    <w:rsid w:val="00127E26"/>
    <w:rsid w:val="00155ECD"/>
    <w:rsid w:val="00157921"/>
    <w:rsid w:val="0016313E"/>
    <w:rsid w:val="001669B1"/>
    <w:rsid w:val="00170BA7"/>
    <w:rsid w:val="00185829"/>
    <w:rsid w:val="001A1EC8"/>
    <w:rsid w:val="001A3AC9"/>
    <w:rsid w:val="001A7310"/>
    <w:rsid w:val="001A732D"/>
    <w:rsid w:val="001B5D40"/>
    <w:rsid w:val="001C2634"/>
    <w:rsid w:val="001C3323"/>
    <w:rsid w:val="001C73D7"/>
    <w:rsid w:val="001D0B0A"/>
    <w:rsid w:val="001E40B3"/>
    <w:rsid w:val="001F5348"/>
    <w:rsid w:val="0020186C"/>
    <w:rsid w:val="00207E0B"/>
    <w:rsid w:val="0022064F"/>
    <w:rsid w:val="002208BD"/>
    <w:rsid w:val="00227824"/>
    <w:rsid w:val="0024671D"/>
    <w:rsid w:val="002478AC"/>
    <w:rsid w:val="00252D79"/>
    <w:rsid w:val="00271D6A"/>
    <w:rsid w:val="00277BB2"/>
    <w:rsid w:val="0028146D"/>
    <w:rsid w:val="002903B4"/>
    <w:rsid w:val="00290885"/>
    <w:rsid w:val="002A7AD5"/>
    <w:rsid w:val="002B6EFB"/>
    <w:rsid w:val="00307197"/>
    <w:rsid w:val="00337E31"/>
    <w:rsid w:val="00345C6C"/>
    <w:rsid w:val="00354101"/>
    <w:rsid w:val="003634AA"/>
    <w:rsid w:val="0037023A"/>
    <w:rsid w:val="00391F9A"/>
    <w:rsid w:val="00396BA4"/>
    <w:rsid w:val="003D1290"/>
    <w:rsid w:val="003E6005"/>
    <w:rsid w:val="003E70CC"/>
    <w:rsid w:val="003F2F57"/>
    <w:rsid w:val="003F7E47"/>
    <w:rsid w:val="004133B4"/>
    <w:rsid w:val="00435F18"/>
    <w:rsid w:val="00457FAF"/>
    <w:rsid w:val="0046371B"/>
    <w:rsid w:val="004678AC"/>
    <w:rsid w:val="00481552"/>
    <w:rsid w:val="00491C91"/>
    <w:rsid w:val="004A5AC5"/>
    <w:rsid w:val="004A7555"/>
    <w:rsid w:val="004C464E"/>
    <w:rsid w:val="004C5007"/>
    <w:rsid w:val="004C7602"/>
    <w:rsid w:val="004E6017"/>
    <w:rsid w:val="004F25A5"/>
    <w:rsid w:val="00504027"/>
    <w:rsid w:val="005076E4"/>
    <w:rsid w:val="005118C4"/>
    <w:rsid w:val="005221CB"/>
    <w:rsid w:val="00530182"/>
    <w:rsid w:val="00531DA0"/>
    <w:rsid w:val="00540AA5"/>
    <w:rsid w:val="00541AEC"/>
    <w:rsid w:val="00552634"/>
    <w:rsid w:val="00560EE6"/>
    <w:rsid w:val="0056287F"/>
    <w:rsid w:val="0057259A"/>
    <w:rsid w:val="00576D4E"/>
    <w:rsid w:val="00586032"/>
    <w:rsid w:val="005A1D5C"/>
    <w:rsid w:val="005A1FCB"/>
    <w:rsid w:val="005B3AA4"/>
    <w:rsid w:val="005C671B"/>
    <w:rsid w:val="005D31A7"/>
    <w:rsid w:val="005D4428"/>
    <w:rsid w:val="005F2EF6"/>
    <w:rsid w:val="005F7716"/>
    <w:rsid w:val="00600FA4"/>
    <w:rsid w:val="0061227B"/>
    <w:rsid w:val="00612C61"/>
    <w:rsid w:val="00652884"/>
    <w:rsid w:val="00654CCE"/>
    <w:rsid w:val="00666780"/>
    <w:rsid w:val="00673E2C"/>
    <w:rsid w:val="00676B52"/>
    <w:rsid w:val="006828ED"/>
    <w:rsid w:val="006854F4"/>
    <w:rsid w:val="006902DA"/>
    <w:rsid w:val="006A6883"/>
    <w:rsid w:val="006B283A"/>
    <w:rsid w:val="006B2B82"/>
    <w:rsid w:val="006C5317"/>
    <w:rsid w:val="006E2209"/>
    <w:rsid w:val="006E37B8"/>
    <w:rsid w:val="006F3276"/>
    <w:rsid w:val="006F7858"/>
    <w:rsid w:val="007207FD"/>
    <w:rsid w:val="00730630"/>
    <w:rsid w:val="00735A76"/>
    <w:rsid w:val="0074244C"/>
    <w:rsid w:val="0074378D"/>
    <w:rsid w:val="00745400"/>
    <w:rsid w:val="00747957"/>
    <w:rsid w:val="00755369"/>
    <w:rsid w:val="007610B3"/>
    <w:rsid w:val="00784589"/>
    <w:rsid w:val="007A522C"/>
    <w:rsid w:val="007B25AE"/>
    <w:rsid w:val="007C0C48"/>
    <w:rsid w:val="007C3B00"/>
    <w:rsid w:val="007D64B1"/>
    <w:rsid w:val="00807568"/>
    <w:rsid w:val="008109A4"/>
    <w:rsid w:val="008209EB"/>
    <w:rsid w:val="00825401"/>
    <w:rsid w:val="008618D5"/>
    <w:rsid w:val="0086347D"/>
    <w:rsid w:val="008662FC"/>
    <w:rsid w:val="0087384A"/>
    <w:rsid w:val="0087590B"/>
    <w:rsid w:val="008771CB"/>
    <w:rsid w:val="008A07C7"/>
    <w:rsid w:val="008A4D6A"/>
    <w:rsid w:val="008A6F1B"/>
    <w:rsid w:val="008E00F3"/>
    <w:rsid w:val="008E2618"/>
    <w:rsid w:val="008F4745"/>
    <w:rsid w:val="00922D9F"/>
    <w:rsid w:val="00937062"/>
    <w:rsid w:val="00942BDD"/>
    <w:rsid w:val="00946947"/>
    <w:rsid w:val="00953204"/>
    <w:rsid w:val="009763E1"/>
    <w:rsid w:val="00992477"/>
    <w:rsid w:val="00993B44"/>
    <w:rsid w:val="009C049D"/>
    <w:rsid w:val="009C18EE"/>
    <w:rsid w:val="009D41A2"/>
    <w:rsid w:val="009E29BF"/>
    <w:rsid w:val="00A0405E"/>
    <w:rsid w:val="00A24D05"/>
    <w:rsid w:val="00A60001"/>
    <w:rsid w:val="00A7010D"/>
    <w:rsid w:val="00A71E0B"/>
    <w:rsid w:val="00A82209"/>
    <w:rsid w:val="00A92000"/>
    <w:rsid w:val="00AC7C5D"/>
    <w:rsid w:val="00AD160E"/>
    <w:rsid w:val="00AD3163"/>
    <w:rsid w:val="00AE44BC"/>
    <w:rsid w:val="00B105A8"/>
    <w:rsid w:val="00B1496D"/>
    <w:rsid w:val="00B257D1"/>
    <w:rsid w:val="00B332C6"/>
    <w:rsid w:val="00B346FA"/>
    <w:rsid w:val="00B36A35"/>
    <w:rsid w:val="00B40A96"/>
    <w:rsid w:val="00B62C23"/>
    <w:rsid w:val="00B84214"/>
    <w:rsid w:val="00BA6E6D"/>
    <w:rsid w:val="00BB3A96"/>
    <w:rsid w:val="00BB4F00"/>
    <w:rsid w:val="00BB71B3"/>
    <w:rsid w:val="00BC4468"/>
    <w:rsid w:val="00BD08E4"/>
    <w:rsid w:val="00BE6B6F"/>
    <w:rsid w:val="00BF6730"/>
    <w:rsid w:val="00C00FC5"/>
    <w:rsid w:val="00C017B5"/>
    <w:rsid w:val="00C03126"/>
    <w:rsid w:val="00C17EFD"/>
    <w:rsid w:val="00C22CA3"/>
    <w:rsid w:val="00C2522E"/>
    <w:rsid w:val="00C52968"/>
    <w:rsid w:val="00C6220B"/>
    <w:rsid w:val="00C77E86"/>
    <w:rsid w:val="00C85B2C"/>
    <w:rsid w:val="00CB1703"/>
    <w:rsid w:val="00CD0918"/>
    <w:rsid w:val="00CE6E63"/>
    <w:rsid w:val="00D010D5"/>
    <w:rsid w:val="00D357EC"/>
    <w:rsid w:val="00D41C83"/>
    <w:rsid w:val="00D425A5"/>
    <w:rsid w:val="00D56F59"/>
    <w:rsid w:val="00D66DE2"/>
    <w:rsid w:val="00D70DCA"/>
    <w:rsid w:val="00DA3506"/>
    <w:rsid w:val="00DE19D6"/>
    <w:rsid w:val="00DE73D7"/>
    <w:rsid w:val="00DF0DDF"/>
    <w:rsid w:val="00DF10CE"/>
    <w:rsid w:val="00DF6172"/>
    <w:rsid w:val="00E04461"/>
    <w:rsid w:val="00E06D16"/>
    <w:rsid w:val="00E1313B"/>
    <w:rsid w:val="00E32C4C"/>
    <w:rsid w:val="00E42C59"/>
    <w:rsid w:val="00E438F6"/>
    <w:rsid w:val="00E44094"/>
    <w:rsid w:val="00E45450"/>
    <w:rsid w:val="00E525F7"/>
    <w:rsid w:val="00E65E12"/>
    <w:rsid w:val="00E675CF"/>
    <w:rsid w:val="00E75F8E"/>
    <w:rsid w:val="00EB448C"/>
    <w:rsid w:val="00EB4DAA"/>
    <w:rsid w:val="00ED0B42"/>
    <w:rsid w:val="00EE0542"/>
    <w:rsid w:val="00EE1F7C"/>
    <w:rsid w:val="00F45716"/>
    <w:rsid w:val="00F45749"/>
    <w:rsid w:val="00F7783C"/>
    <w:rsid w:val="00F93573"/>
    <w:rsid w:val="00F97263"/>
    <w:rsid w:val="00FC086E"/>
    <w:rsid w:val="00FD7DCB"/>
    <w:rsid w:val="00FE5E9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6947"/>
    <w:pPr>
      <w:spacing w:after="200" w:line="276" w:lineRule="auto"/>
    </w:pPr>
    <w:rPr>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46947"/>
    <w:pPr>
      <w:ind w:left="720"/>
      <w:contextualSpacing/>
    </w:pPr>
  </w:style>
  <w:style w:type="paragraph" w:styleId="Zkladntext">
    <w:name w:val="Body Text"/>
    <w:basedOn w:val="Normln"/>
    <w:link w:val="ZkladntextChar"/>
    <w:semiHidden/>
    <w:rsid w:val="00946947"/>
    <w:pPr>
      <w:widowControl w:val="0"/>
      <w:spacing w:after="0" w:line="240" w:lineRule="auto"/>
    </w:pPr>
    <w:rPr>
      <w:rFonts w:eastAsia="Times New Roman"/>
      <w:color w:val="000000"/>
      <w:szCs w:val="20"/>
      <w:lang w:eastAsia="cs-CZ"/>
    </w:rPr>
  </w:style>
  <w:style w:type="character" w:customStyle="1" w:styleId="ZkladntextChar">
    <w:name w:val="Základní text Char"/>
    <w:basedOn w:val="Standardnpsmoodstavce"/>
    <w:link w:val="Zkladntext"/>
    <w:semiHidden/>
    <w:rsid w:val="00946947"/>
    <w:rPr>
      <w:rFonts w:eastAsia="Times New Roman" w:cs="Times New Roman"/>
      <w:color w:val="000000"/>
      <w:szCs w:val="20"/>
      <w:lang w:eastAsia="cs-CZ"/>
    </w:rPr>
  </w:style>
  <w:style w:type="character" w:styleId="Hypertextovodkaz">
    <w:name w:val="Hyperlink"/>
    <w:basedOn w:val="Standardnpsmoodstavce"/>
    <w:unhideWhenUsed/>
    <w:rsid w:val="00946947"/>
    <w:rPr>
      <w:color w:val="0000FF"/>
      <w:u w:val="single"/>
    </w:rPr>
  </w:style>
  <w:style w:type="paragraph" w:styleId="Zhlav">
    <w:name w:val="header"/>
    <w:basedOn w:val="Normln"/>
    <w:link w:val="ZhlavChar"/>
    <w:uiPriority w:val="99"/>
    <w:semiHidden/>
    <w:unhideWhenUsed/>
    <w:rsid w:val="002478AC"/>
    <w:pPr>
      <w:tabs>
        <w:tab w:val="center" w:pos="4536"/>
        <w:tab w:val="right" w:pos="9072"/>
      </w:tabs>
    </w:pPr>
  </w:style>
  <w:style w:type="character" w:customStyle="1" w:styleId="ZhlavChar">
    <w:name w:val="Záhlaví Char"/>
    <w:basedOn w:val="Standardnpsmoodstavce"/>
    <w:link w:val="Zhlav"/>
    <w:uiPriority w:val="99"/>
    <w:semiHidden/>
    <w:rsid w:val="002478AC"/>
    <w:rPr>
      <w:sz w:val="24"/>
      <w:szCs w:val="22"/>
      <w:lang w:eastAsia="en-US"/>
    </w:rPr>
  </w:style>
  <w:style w:type="paragraph" w:styleId="Zpat">
    <w:name w:val="footer"/>
    <w:basedOn w:val="Normln"/>
    <w:link w:val="ZpatChar"/>
    <w:uiPriority w:val="99"/>
    <w:unhideWhenUsed/>
    <w:rsid w:val="002478AC"/>
    <w:pPr>
      <w:tabs>
        <w:tab w:val="center" w:pos="4536"/>
        <w:tab w:val="right" w:pos="9072"/>
      </w:tabs>
    </w:pPr>
  </w:style>
  <w:style w:type="character" w:customStyle="1" w:styleId="ZpatChar">
    <w:name w:val="Zápatí Char"/>
    <w:basedOn w:val="Standardnpsmoodstavce"/>
    <w:link w:val="Zpat"/>
    <w:uiPriority w:val="99"/>
    <w:rsid w:val="002478AC"/>
    <w:rPr>
      <w:sz w:val="24"/>
      <w:szCs w:val="22"/>
      <w:lang w:eastAsia="en-US"/>
    </w:rPr>
  </w:style>
  <w:style w:type="paragraph" w:styleId="Textbubliny">
    <w:name w:val="Balloon Text"/>
    <w:basedOn w:val="Normln"/>
    <w:link w:val="TextbublinyChar"/>
    <w:uiPriority w:val="99"/>
    <w:semiHidden/>
    <w:unhideWhenUsed/>
    <w:rsid w:val="00AE44B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44BC"/>
    <w:rPr>
      <w:rFonts w:ascii="Tahoma" w:hAnsi="Tahoma" w:cs="Tahoma"/>
      <w:sz w:val="16"/>
      <w:szCs w:val="16"/>
      <w:lang w:eastAsia="en-US"/>
    </w:rPr>
  </w:style>
  <w:style w:type="character" w:styleId="Odkaznakoment">
    <w:name w:val="annotation reference"/>
    <w:semiHidden/>
    <w:rsid w:val="005221CB"/>
    <w:rPr>
      <w:sz w:val="16"/>
      <w:szCs w:val="16"/>
    </w:rPr>
  </w:style>
  <w:style w:type="paragraph" w:styleId="Textkomente">
    <w:name w:val="annotation text"/>
    <w:basedOn w:val="Normln"/>
    <w:link w:val="TextkomenteChar"/>
    <w:rsid w:val="005221CB"/>
    <w:pPr>
      <w:spacing w:after="0" w:line="240" w:lineRule="auto"/>
    </w:pPr>
    <w:rPr>
      <w:rFonts w:eastAsia="Times New Roman"/>
      <w:sz w:val="20"/>
      <w:szCs w:val="20"/>
      <w:lang w:eastAsia="cs-CZ"/>
    </w:rPr>
  </w:style>
  <w:style w:type="character" w:customStyle="1" w:styleId="TextkomenteChar">
    <w:name w:val="Text komentáře Char"/>
    <w:basedOn w:val="Standardnpsmoodstavce"/>
    <w:link w:val="Textkomente"/>
    <w:rsid w:val="005221CB"/>
    <w:rPr>
      <w:rFonts w:eastAsia="Times New Roman"/>
    </w:rPr>
  </w:style>
  <w:style w:type="paragraph" w:styleId="Pedmtkomente">
    <w:name w:val="annotation subject"/>
    <w:basedOn w:val="Textkomente"/>
    <w:next w:val="Textkomente"/>
    <w:link w:val="PedmtkomenteChar"/>
    <w:uiPriority w:val="99"/>
    <w:semiHidden/>
    <w:unhideWhenUsed/>
    <w:rsid w:val="007B25AE"/>
    <w:pPr>
      <w:spacing w:after="200"/>
    </w:pPr>
    <w:rPr>
      <w:rFonts w:eastAsia="Calibri"/>
      <w:b/>
      <w:bCs/>
      <w:lang w:eastAsia="en-US"/>
    </w:rPr>
  </w:style>
  <w:style w:type="character" w:customStyle="1" w:styleId="PedmtkomenteChar">
    <w:name w:val="Předmět komentáře Char"/>
    <w:basedOn w:val="TextkomenteChar"/>
    <w:link w:val="Pedmtkomente"/>
    <w:uiPriority w:val="99"/>
    <w:semiHidden/>
    <w:rsid w:val="007B25AE"/>
    <w:rPr>
      <w:b/>
      <w:bCs/>
      <w:lang w:eastAsia="en-US"/>
    </w:rPr>
  </w:style>
  <w:style w:type="paragraph" w:styleId="Revize">
    <w:name w:val="Revision"/>
    <w:hidden/>
    <w:uiPriority w:val="99"/>
    <w:semiHidden/>
    <w:rsid w:val="007B25AE"/>
    <w:rPr>
      <w:sz w:val="24"/>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tace.kr-kralovehradeck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DC082-E2B1-4531-8404-8465F559B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3445</Words>
  <Characters>20327</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Krajský úřad, Královehradecký kraj</Company>
  <LinksUpToDate>false</LinksUpToDate>
  <CharactersWithSpaces>23725</CharactersWithSpaces>
  <SharedDoc>false</SharedDoc>
  <HLinks>
    <vt:vector size="12" baseType="variant">
      <vt:variant>
        <vt:i4>1245280</vt:i4>
      </vt:variant>
      <vt:variant>
        <vt:i4>3</vt:i4>
      </vt:variant>
      <vt:variant>
        <vt:i4>0</vt:i4>
      </vt:variant>
      <vt:variant>
        <vt:i4>5</vt:i4>
      </vt:variant>
      <vt:variant>
        <vt:lpwstr>mailto:inekovarova@kr-kralovehradecky.cz</vt:lpwstr>
      </vt:variant>
      <vt:variant>
        <vt:lpwstr/>
      </vt:variant>
      <vt:variant>
        <vt:i4>5636173</vt:i4>
      </vt:variant>
      <vt:variant>
        <vt:i4>0</vt:i4>
      </vt:variant>
      <vt:variant>
        <vt:i4>0</vt:i4>
      </vt:variant>
      <vt:variant>
        <vt:i4>5</vt:i4>
      </vt:variant>
      <vt:variant>
        <vt:lpwstr>http://www.kr-kralovehradecky.cz/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523</dc:creator>
  <cp:lastModifiedBy>Miroslav Mejstřík</cp:lastModifiedBy>
  <cp:revision>8</cp:revision>
  <cp:lastPrinted>2014-03-18T05:59:00Z</cp:lastPrinted>
  <dcterms:created xsi:type="dcterms:W3CDTF">2014-03-26T07:36:00Z</dcterms:created>
  <dcterms:modified xsi:type="dcterms:W3CDTF">2014-03-27T08:15:00Z</dcterms:modified>
</cp:coreProperties>
</file>